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ACJC/671/2017 vom 15. Juni 2017</w:t>
      </w:r>
    </w:p>
    <w:p>
      <w:r>
        <w:t>GE Cour de justice, 2017-06-15, FR</w:t>
      </w:r>
    </w:p>
    <w:p>
      <w:r>
        <w:rPr>
          <w:b/>
        </w:rPr>
        <w:t xml:space="preserve">Quelle: </w:t>
      </w:r>
      <w:r>
        <w:t>https://mcp.opencaselaw.ch/entscheid/ge_gerichte_ACJC_671_2017</w:t>
      </w:r>
    </w:p>
    <w:p>
      <w:r>
        <w:t>FR: GE_GERICHTE ACJC/671/2017 du 15 juin 2017</w:t>
      </w:r>
    </w:p>
    <w:p>
      <w:r>
        <w:t>IT: GE_GERICHTE ACJC/671/2017 del 15 giugno 2017</w:t>
      </w:r>
    </w:p>
    <w:p>
      <w:pPr>
        <w:pStyle w:val="Heading2"/>
      </w:pPr>
      <w:r>
        <w:t>Erwägungen</w:t>
      </w:r>
    </w:p>
    <w:p>
      <w:r>
        <w:rPr>
          <w:b/>
        </w:rPr>
        <w:t>E. 1.1</w:t>
      </w:r>
    </w:p>
    <w:p>
      <w:r>
        <w:t>Selon l'art. 319 CPC, le recours est recevable notamment contre les décisions finales, incidentes et provisionnelles de première instance qui ne peuvent faire l'objet d'un appel (let. a), ainsi que contre les autres décisions et ordonnances d'instruction de première instance dans les cas prévus par la loi (let. b ch.1) ou lorsqu'elles peuvent causer un préjudice difficilement réparable (ch. 2).</w:t>
      </w:r>
    </w:p>
    <w:p>
      <w:r>
        <w:t>Par l'ordonnance attaquée, le Tribunal a ordonné la jonction de causes en vertu de l'art. 125 let. c CPC. Une décision relative à la simplification du procès au sens de l'art. 125 CPC constitue une décision susceptible d'un recours en vertu de l'art. 319 let. b CPC (JEANDIN, Code de procédure civil commenté, n. 15 ad art. 319 CPC). Le recours a été interjeté dans le délai de dix jours et suivant la forme prévus par la loi (art. 130, 131 et 321 al. 2 et 3 CPC).</w:t>
      </w:r>
    </w:p>
    <w:p>
      <w:r>
        <w:rPr>
          <w:b/>
        </w:rPr>
        <w:t>E. 1.2</w:t>
      </w:r>
    </w:p>
    <w:p>
      <w:r>
        <w:t>Dans la mesure où la loi ne prévoit pas de recours contre une décision de suspension, il convient d'examiner si la décision querellée peut causer au recourant un préjudice difficilement réparable (art. 319 let. b ch. 2 CPC).</w:t>
      </w:r>
    </w:p>
    <w:p>
      <w:r>
        <w:t>La recourante fait valoir que son droit aux renseignements ancré dans les effets du mariage et fondé sur l'art. 170 CC a une portée distincte, tant dans son objet que dans sa nature procédurale, du droit à l'information relative aux effets du divorce, ancré lui aussi dans l'art. 170 CC, mais susceptible de n'être exercé que conformément à l'art. 150 CPC dans le contexte de la procédure ordinaire de divorce.</w:t>
      </w:r>
    </w:p>
    <w:p>
      <w:r>
        <w:t>- 5/7 -</w:t>
      </w:r>
    </w:p>
    <w:p>
      <w:r>
        <w:t>C/8525/2016</w:t>
      </w:r>
    </w:p>
    <w:p>
      <w:r>
        <w:t>Selon la recourante, ce préjudice a déjà été "partiellement consommé" par l'ordonnance OTPI/23/2017, plus précisément par le fait que le Tribunal a rendu cette ordonnance immédiatement après avoir prononcé la jonction de causes, comme s'il était saisi d'une requête de mesures provisionnelles, en s'affranchissant ainsi doublement de l'arrêt de renvoi en ne déférant pas à l'injonction qui lui avait été faite par la Cour de statuer sur tous les chiffres de la requête de reddition de comptes, hormis les ch. 10 à 12, et en interprétant que l'arrêt de renvoi ne lui enjoignait que d'ordonner la production de documents pertinents pour statuer sur les effets accessoires du divorce, restreignant en conséquence le champ de son droit à l'information.</w:t>
      </w:r>
    </w:p>
    <w:p>
      <w:r>
        <w:rPr>
          <w:b/>
        </w:rPr>
        <w:t>E. 1.2.1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w:t>
      </w:r>
    </w:p>
    <w:p>
      <w:r>
        <w:rPr>
          <w:b/>
        </w:rPr>
        <w:t>E. 1.2.2</w:t>
      </w:r>
    </w:p>
    <w:p>
      <w:r>
        <w:t>En l'espèce, dans son arrêt ACJC/1315/2016 rendu le 7 octobre 2016, la Cour a retenu que la recourante était légitimée à être renseignée en vertu de l'art. 170 CC, en tant qu'elle disposait vraisemblablement d'un intérêt concret à obtenir des renseignements destinés à lui permettre de chiffrer, puis de faire valoir ses prétentions, à savoir le partage des acquêts conformément au régime matrimonial auquel les époux étaient soumis, dans le cadre de la procédure parallèle en divorce. Tel n'était, en revanche, pas le cas s'agissant de</w:t>
      </w:r>
    </w:p>
    <w:p>
      <w:r>
        <w:t>- 6/7 -</w:t>
      </w:r>
    </w:p>
    <w:p>
      <w:r>
        <w:t>C/8525/2016 renseignements d'ordre général, tels que des renseignements en lien avec les lois fiscales américaines et la loi suisse contre le blanchiment d'argent, pour lesquels son intérêt n'était que virtuel.</w:t>
      </w:r>
    </w:p>
    <w:p>
      <w:r>
        <w:t>Ainsi, contrairement à ce que soutient la recourante, le champ des informations qu'elle est légitimée à obtenir au moyen de sa requête indépendante fondée sur l'art. 170 CC a été circonscrit par la Cour aux renseignements en lien avec les prétentions qu'elle pourrait formuler dans la procédure de divorce.</w:t>
      </w:r>
    </w:p>
    <w:p>
      <w:r>
        <w:t>Partant, on conçoit mal quel préjudice difficilement réparable la recourante pourrait subir du fait de la jonction de la procédure de demande de renseignements avec la procédure de divorce, tant sur le plan procédural que sur le fond, et cela d'autant plus que la recourante n'a pas fait appel contre l'ordonnance OTPI/23/2017, laquelle statue au fond sur son droit à l'information. Il convient, dès lors, de considérer que la condition du préjudice difficilement réparable prévue à l'art. 319 let. b ch. 2 CPC n'est pas réalisée, de sorte que le recours est irrecevable.</w:t>
      </w:r>
    </w:p>
    <w:p>
      <w:r>
        <w:rPr>
          <w:b/>
        </w:rPr>
        <w:t>E. 2</w:t>
      </w:r>
    </w:p>
    <w:p>
      <w:r>
        <w:t>La recourante, dont le recours est déclaré irrecevable, sera condamnée aux frais du présent recours, fixés à 2'000 fr. (art. 104 al. 1, 105 et 106 al. 1 CPC; art. 41 RTFMC), compensés avec l'avance du même montant qu'elle a versée, qui reste acquise à l'Etat (art. 111 al. 1 CPC). La recourante sera également condamnée aux dépens de l'intimé, lesquels seront arrêtés à 2'000 fr., débours et TVA inclus (art. 105 al. 2 et 106 al. 1 CPC; art. 20, 23 al. 1, 25 et 26 LaCC; 84 ss et 90 RTFMC). * * * * *</w:t>
      </w:r>
    </w:p>
    <w:p>
      <w:r>
        <w:t>- 7/7 -</w:t>
      </w:r>
    </w:p>
    <w:p>
      <w:r>
        <w:t>C/8525/2016 PAR CES MOTIFS, La Chambre civile : A la forme : Déclare irrecevable le recours interjeté le 9 février 2017 par A______ contre l'ordonnance ORTPI/77/2017 rendue le 25 janvier 2017 par le Tribunal de première instance dans la cause C/8525/2016-5. Sur les frais : Arrête les frais judiciaires du recours à 2'000 fr., les met à la charge de A______ et les compense partiellement avec son avance de frais de 800 fr., laquelle reste acquise à l'Etat de Genève. Condamne en conséquence A______ à verser à l'Etat de Genève, soit pour lui les Services financiers du Pouvoir judiciaire, la somme de 1'200 fr. à titre de solde de frais. Condamne A______ à verser à B______ la somme de 2'000 fr. à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