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ACJC/668/2014 vom 30. Mai 2014</w:t>
      </w:r>
    </w:p>
    <w:p>
      <w:r>
        <w:t>GE Cour de justice, 2014-05-30, FR</w:t>
      </w:r>
    </w:p>
    <w:p>
      <w:r>
        <w:rPr>
          <w:b/>
        </w:rPr>
        <w:t xml:space="preserve">Quelle: </w:t>
      </w:r>
      <w:r>
        <w:t>https://mcp.opencaselaw.ch/entscheid/ge_gerichte_ACJC_668_2014</w:t>
      </w:r>
    </w:p>
    <w:p>
      <w:r>
        <w:t>FR: GE_GERICHTE ACJC/668/2014 du 30 mai 2014</w:t>
      </w:r>
    </w:p>
    <w:p>
      <w:r>
        <w:t>IT: GE_GERICHTE ACJC/668/2014 del 30 maggio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Formé selon la voie, la forme et dans le délai prévus par la loi (art. 321 al. 1 et 2 CPC), le présent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pièces nouvelles produites par la recourante devant la Cour sont, en tant que telles, irrecevables. Il s'agit cependant d'extrait du Registre du commerce, dont les données peuvent être qualifiées de faits notoires et dont il peut donc être tenu compte, le cas échéant. La cession de créance de décembre 2007 avait quant à elle déjà été produite devant le Tribunal.</w:t>
      </w:r>
    </w:p>
    <w:p>
      <w:r>
        <w:t>- 4/5 -</w:t>
      </w:r>
    </w:p>
    <w:p>
      <w:r>
        <w:t>C/24093/2013</w:t>
      </w:r>
    </w:p>
    <w:p>
      <w:r>
        <w:rPr>
          <w:b/>
        </w:rPr>
        <w:t>E. 2.1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juge doit vérifier l'identité entre le poursuivant et le créancier désigné dans ce titre, l'identité entre le poursuivi et le débiteur désigné et l'identité entre la prétention déduite en poursuite et la dette reconnue (ATF 139 III 444 consid. 4.4.1).</w:t>
      </w:r>
    </w:p>
    <w:p>
      <w:r>
        <w:rPr>
          <w:b/>
        </w:rPr>
        <w:t>E. 2.2</w:t>
      </w:r>
    </w:p>
    <w:p>
      <w:r>
        <w:t>En l'espèce, il ne ressort pas des pièces produites devant le Tribunal qu'à la date de la cession de la créance litigieuse par D______ à la recourante, soit le 27 février 2005, la cédante en était titulaire puisque E______ ne lui a, elle-même, cédé ses créances qu'en décembre 2007. Dès lors, dans la mesure où D______ ne pouvait céder, le 27 février 2005, la créance litigieuse, dont elle n'était pas titulaire à ce moment, le Tribunal a retenu à bon droit qu'il n'y avait pas eu de cession de créance valable en faveur de la recourante et que l'identité entre le créancier indiqué dans le titre de mainlevée et celui figurant dans le commandement de payer était différente. Le recours sera dès lors rejeté.</w:t>
      </w:r>
    </w:p>
    <w:p>
      <w:r>
        <w:rPr>
          <w:b/>
        </w:rPr>
        <w:t>E. 3</w:t>
      </w:r>
    </w:p>
    <w:p>
      <w:r>
        <w:t>La recourante,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L'émolument de la présente décision sera fixé à 350 fr. Il sera mis à la charge de la recourante et sera compensé avec l'avance de frais du même montant opérée par celle-ci, acquise à l'Etat par compensation (art. 111 al. 1 CPC). Il ne sera pas alloué de dépens à l'intimée, qui n'a pas répondu au recours. * * * * *</w:t>
      </w:r>
    </w:p>
    <w:p>
      <w:r>
        <w:t>- 5/5 -</w:t>
      </w:r>
    </w:p>
    <w:p>
      <w:r>
        <w:t>C/24093/2013 PAR CES MOTIFS, La Chambre civile : A la forme : Déclare recevable le recours interjeté le 20 mars 2014 par A______ contre le jugement JTPI/3469/2014 rendu le 10 mars 2014 par le Tribunal de première instance dans la cause C/24093/2013-6 SML. Au fond : Rejette ce recours. Déboute les parties de toutes autres conclusions. Statuant sur les frais : Arrête les frais judiciaires du recours à 350 fr. et les met à la charge d'A______. Compense les frais judiciaires du recours avec l'avance de frais du même montant fournie par A______, qui reste acquise à l'Etat.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