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ACJC/666/2020 vom 14. Mai 2020</w:t>
      </w:r>
    </w:p>
    <w:p>
      <w:r>
        <w:t>GE Cour de justice, 2020-05-14, FR</w:t>
      </w:r>
    </w:p>
    <w:p>
      <w:r>
        <w:rPr>
          <w:b/>
        </w:rPr>
        <w:t xml:space="preserve">Quelle: </w:t>
      </w:r>
      <w:r>
        <w:t>https://mcp.opencaselaw.ch/entscheid/ge_gerichte_ACJC_666_2020</w:t>
      </w:r>
    </w:p>
    <w:p>
      <w:r>
        <w:t>FR: GE_GERICHTE ACJC/666/2020 du 14 mai 2020</w:t>
      </w:r>
    </w:p>
    <w:p>
      <w:r>
        <w:t>IT: GE_GERICHTE ACJC/666/2020 del 14 maggio 2020</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 Les maximes de débats et de disposition s'appliquent (art.55 al. 1, 255 let. a a contrario et 58 al. 1 CPC).</w:t>
      </w:r>
    </w:p>
    <w:p>
      <w:r>
        <w:rPr>
          <w:b/>
        </w:rPr>
        <w:t>E. 2</w:t>
      </w:r>
    </w:p>
    <w:p>
      <w:r>
        <w:t>Les conclusions, les allégations de faits et les preuves nouvelles sont irrecevables (art. 326 al. 1 CPC).</w:t>
      </w:r>
    </w:p>
    <w:p>
      <w:r>
        <w:t>La pièce nouvelle produite par l'intimée, soit un extrait du site internet de l'Etude D______ SA, lequel ne constitue pas un fait notoire, est irrecevable, ainsi que les allégués de faits s'y rapportant.</w:t>
      </w:r>
    </w:p>
    <w:p>
      <w:r>
        <w:rPr>
          <w:b/>
        </w:rPr>
        <w:t>E. 3</w:t>
      </w:r>
    </w:p>
    <w:p>
      <w:r>
        <w:t>Le recours étant instruit en procédure sommaire, la preuve des faits alléguée doit être rapportée par titres (art. 254 CPC).</w:t>
      </w:r>
    </w:p>
    <w:p>
      <w:r>
        <w:t>- 5/9 -</w:t>
      </w:r>
    </w:p>
    <w:p>
      <w:r>
        <w:t>C/20511/2019</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4</w:t>
      </w:r>
    </w:p>
    <w:p>
      <w:r>
        <w:t>La recourante reproche au Tribunal d'avoir retenu qu'elle s'était engagée à verser à l'intimée une somme d'argent déterminée, sans réserve, ni condition.</w:t>
      </w:r>
    </w:p>
    <w:p>
      <w:r>
        <w:rPr>
          <w:b/>
        </w:rPr>
        <w:t>E. 4.1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w:t>
      </w:r>
    </w:p>
    <w:p>
      <w:r>
        <w:rPr>
          <w:b/>
        </w:rPr>
        <w:t>E. 4.2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w:t>
      </w:r>
    </w:p>
    <w:p>
      <w:r>
        <w:t>- 6/9 -</w:t>
      </w:r>
    </w:p>
    <w:p>
      <w:r>
        <w:t>C/20511/2019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w:t>
      </w:r>
    </w:p>
    <w:p>
      <w:r>
        <w:rPr>
          <w:b/>
        </w:rPr>
        <w:t>E. 4.3</w:t>
      </w:r>
    </w:p>
    <w:p>
      <w:r>
        <w:t>En l'espèce, il est constant que les parties ont conclu une convention de paiement le 30 juin 2017, la recourante s'étant dans ce cadre engagée à verser une somme déterminée de 1'089'686 fr. à l'intimée. Les parties sont également convenues de ce que la recourante verserait ledit montant dans les trois jours suivants la réception par elle, directement ou indirectement, d'une contribution en espèces, d'une augmentation de capital-actions, d'un prêt ou de toute autre manière, d'un investisseur dans le projet de _______, mais au plus tard le 30 août 2017. Les parties s'opposent sur le sens de l'art. 2 de ladite convention. La recourante soutient en effet que le versement du montant précité est soumis à une condition suspensive, alors que selon l'intimée l'engagement pris par la recourante est ferme et inconditionnel. Or, à teneur de la jurisprudence rappelée ci-avant, il n'appartient pas au juge de la mainlevée de procéder à une interprétation de la volonté des parties, afin de déterminer si les parties sont convenues d'une condition suspensive, voire résolutoire ou d'un engagement inconditionnel. En effet, une telle interprétation, fondée sur l'art. 18 CO, ne trouve pas sa place dans la présente procédure et est du ressort du juge du fond. C'est dès lors à tort que le Tribunal a prononcé la mainlevée provisoire de l'opposition formée au commandement de payer. Le recours sera admis et le jugement entrepris annulé. La cause étant en état d'être jugée (art. 327 al. 3 let. b CPC), il sera statué en ce sens que l'intimée sera déboutée des fins de sa requête de mainlevée provisoire du</w:t>
      </w:r>
    </w:p>
    <w:p>
      <w:r>
        <w:rPr>
          <w:b/>
        </w:rPr>
        <w:t>E. 6</w:t>
      </w:r>
    </w:p>
    <w:p>
      <w:r>
        <w:t>septembre 2019. 5. L'intimée, qui succombe, sera condamnée aux frais judiciaires de première instance, arrêtés à 1'500 fr., et de seconde instance, arrêtés à 2'250 fr. (art. 106 al. 1 CPC; art. 48 et 61 OELP), compensés avec les avances fournies, qui restent acquises à l'Etat de Genève (art. 111 al. 1 CPC). L'intimée sera en conséquence condamnée à verser 2'250 fr. à ce titre à la recourante (art. 111 al. 2 CPC).</w:t>
      </w:r>
    </w:p>
    <w:p>
      <w:r>
        <w:t>L'intimée sera par ailleurs condamnée à verser à la recourante, à titre de dépens de première et de seconde instances, débours et TVA compris, les sommes de</w:t>
      </w:r>
    </w:p>
    <w:p>
      <w:r>
        <w:t>- 7/9 -</w:t>
      </w:r>
    </w:p>
    <w:p>
      <w:r>
        <w:t>C/20511/2019 respectivement 7'000 fr. (montant non contesté par les parties) et 2'000 fr. (art. 85, 89 et 90 RTFMC; art. 25 et 26 LaCC). * * * * *</w:t>
      </w:r>
    </w:p>
    <w:p>
      <w:r>
        <w:t>- 8/9 -</w:t>
      </w:r>
    </w:p>
    <w:p>
      <w:r>
        <w:t>C/20511/2019 PAR CES MOTIFS, La Chambre civile : A la forme : Déclare recevable le recours interjeté le 27 février 2020 par A______ SA contre le jugement JTPI/2052/2020 rendu le 3 février 2020 par le Tribunal de première instance dans la cause C/20511/2019-26 SML. Au fond : Annule ce jugement. Cela fait, et statuant à nouveau : Déboute C______ SA des fins de sa requête en mainlevée provisoire de l'opposition formée le 6 septembre 2019 au commandement de payer, poursuite n° 1______, notifié à A______ SA. Déboute les parties de toutes autres conclusions. Sur les frais : Arrête les frais judiciaires de première et de seconde instances à respectivement 1'500 fr. et 2'250 fr., compensés avec les avances fournies, acquises à l'Etat de Genève, et les met à la charge de C______ SA. Condamne en conséquence C______ SA à verser à A______ SA la somme de 2'250 fr. à titre de remboursement des frais. Condamne C______ SA à verser à A______ SA la somme totale de 9'000 fr. à titre de dépens de première instance et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- 9/9 -</w:t>
      </w:r>
    </w:p>
    <w:p>
      <w:r>
        <w:t>C/20511/2019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