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ACJC/665/2023 vom 25. Mai 2023</w:t>
      </w:r>
    </w:p>
    <w:p>
      <w:r>
        <w:t>GE Cour de justice, 2023-05-25, FR</w:t>
      </w:r>
    </w:p>
    <w:p>
      <w:r>
        <w:rPr>
          <w:b/>
        </w:rPr>
        <w:t xml:space="preserve">Quelle: </w:t>
      </w:r>
      <w:r>
        <w:t>https://mcp.opencaselaw.ch/entscheid/ge_gerichte_ACJC_665_2023</w:t>
      </w:r>
    </w:p>
    <w:p>
      <w:r>
        <w:t>FR: GE_GERICHTE ACJC/665/2023 du 25 mai 2023</w:t>
      </w:r>
    </w:p>
    <w:p>
      <w:r>
        <w:t>IT: GE_GERICHTE ACJC/665/2023 del 25 maggio 2023</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w:t>
      </w:r>
    </w:p>
    <w:p>
      <w:r>
        <w:rPr>
          <w:b/>
        </w:rPr>
        <w:t>E. 1.2</w:t>
      </w:r>
    </w:p>
    <w:p>
      <w:r>
        <w:t>En l'occurrence, le Tribunal fédéral a statué sur le fond et renvoyé la cause à la Cour uniquement pour qu'elle se prononce sur le sort des frais judiciaires et des dépens de la procédure cantonale, restreignant ceux-ci, à teneur de ses considérants, à ceux relevant de la procédure qui s'était déroulée devant elle.</w:t>
      </w:r>
    </w:p>
    <w:p>
      <w:r>
        <w:rPr>
          <w:b/>
        </w:rPr>
        <w:t>E. 2.1</w:t>
      </w:r>
    </w:p>
    <w:p>
      <w:r>
        <w:t>Les frais judiciaires et les dépens sont répartis entre les parties en application des art. 106 s. CPC, la règle étant qu'ils sont en principe mis à la charge de la partie qui succombe (art. 106 al. 1 CPC).</w:t>
      </w:r>
    </w:p>
    <w:p>
      <w:r>
        <w:t>- 4/5 -</w:t>
      </w:r>
    </w:p>
    <w:p>
      <w:r>
        <w:t>C/8329/2013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Statuant dans ce cadre selon les règles du droit et de l'équité (art. 4 CC), l'autorité cantonale dispose d'un large pouvoir d'appréciation (ATF 139 III 358 consid. 3 p. 360; arrêt du Tribunal fédéral 5A_835/2015 précité consid. 9.1).</w:t>
      </w:r>
    </w:p>
    <w:p>
      <w:r>
        <w:rPr>
          <w:b/>
        </w:rPr>
        <w:t>E. 2.2</w:t>
      </w:r>
    </w:p>
    <w:p>
      <w:r>
        <w:t>En l'espèce, la décision du Tribunal fédéral n'a modifié l'arrêt de la Cour que de manière marginale sur la question du point de départ de intérêts moratoires dus par B______ sur la somme qu'il était condamnée à verser à A______ au titre de la liquidation du régime matrimonial. L'admission du recours au Tribunal fédéral sur le point précité a, compte tenu de l'ampleur de l'ensemble du litige, une incidence financière mineure, qui ne commande pas de revoir la répartition des frais et dépens des deux instances cantonales décidée dans l'arrêt du 31 août 2021, le motif qui avait fondé cette répartition, à savoir la nature familiale du litige et le fait qu'aucune des parties n'ait eu entièrement gain de cause, restant pertinent. Il n'y a par ailleurs pas lieu de modifier le montant des frais judiciaires des deux instances fixé par l'arrêt du 31 août 2021, celui-ci n'ayant pas été critiqué par les parties devant le Tribunal fédéral. Contrairement à ce que fait valoir A______, le fait que le montant qui lui a été finalement alloué était largement supérieur à celui que son ex-époux était initialement prêt à payer au titre de la liquidation du régime matrimonial n'est pas déterminant, étant rappelé que le litige comportait différents aspects. Par conséquent, la Cour s'en tiendra à ses considérations précédentes, et confirmera la répartition des frais et dépens effectuée par le Tribunal, qui n'avait pas été contestée de manière motivée devant la Cour. Elle rendra en outre une nouvelle décision sur les frais et dépens de la procédure d'appel, identique à celle résultant de l'arrêt précité.</w:t>
      </w:r>
    </w:p>
    <w:p>
      <w:r>
        <w:rPr>
          <w:b/>
        </w:rPr>
        <w:t>E. 2.3</w:t>
      </w:r>
    </w:p>
    <w:p>
      <w:r>
        <w:t>Il sera en outre renoncé à percevoir un émolument de décision dans le cadre de la présente procédure de renvoi, rendue nécessaire à la suite de l'arrêt du Tribunal fédéral. * * * * *</w:t>
      </w:r>
    </w:p>
    <w:p>
      <w:r>
        <w:t>- 5/5 -</w:t>
      </w:r>
    </w:p>
    <w:p>
      <w:r>
        <w:t>C/8329/2013 PAR CES MOTIFS, La Chambre civile : Statuant sur renvoi du Tribunal fédéral sur les frais et dépens: Confirme les chiffres 6 à 10 du dispositif du jugement rendu par le Tribunal de première instance le 17 août 2020. Met à la charge des parties, à raison d'une moitié chacune, les frais judiciaires de seconde instance, arrêtés à 46'000 fr. et les compense avec les avances versées par les parties, acquises à l'Etat de Genève. Condamne B______ à verser 17'000 fr. à A______ au titre des frais judiciaires de seconde instance. Dit qu'il n'est pas alloué de dépens.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