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ACJC/665/2018 vom 5. Juni 2018</w:t>
      </w:r>
    </w:p>
    <w:p>
      <w:r>
        <w:t>GE Cour de justice, 2018-06-05, FR</w:t>
      </w:r>
    </w:p>
    <w:p>
      <w:r>
        <w:rPr>
          <w:b/>
        </w:rPr>
        <w:t xml:space="preserve">Quelle: </w:t>
      </w:r>
      <w:r>
        <w:t>https://mcp.opencaselaw.ch/entscheid/ge_gerichte_ACJC_665_2018</w:t>
      </w:r>
    </w:p>
    <w:p>
      <w:r>
        <w:t>FR: GE_GERICHTE ACJC/665/2018 du 5 juin 2018</w:t>
      </w:r>
    </w:p>
    <w:p>
      <w:r>
        <w:t>IT: GE_GERICHTE ACJC/665/2018 del 5 giugno 2018</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les montants contestés, tels qu'ils résultent de la procédure de première instance, une fois capitalisés conformément à l'art. 92 al. 2 CPC, sont supérieurs à 10'000 fr., de sorte que la voie de l'appel est ouverte.</w:t>
      </w:r>
    </w:p>
    <w:p>
      <w:r>
        <w:rPr>
          <w:b/>
        </w:rPr>
        <w:t>E. 1.2</w:t>
      </w:r>
    </w:p>
    <w:p>
      <w:r>
        <w:t>Formé dans le délai et selon la forme prescrits par la loi (art. 130, 131 et 311 al. 1 CPC), l'appel est recevable.</w:t>
      </w:r>
    </w:p>
    <w:p>
      <w:r>
        <w:rPr>
          <w:b/>
        </w:rPr>
        <w:t>E. 1.3</w:t>
      </w:r>
    </w:p>
    <w:p>
      <w:r>
        <w:t>La Cour revoit la cause en fait et en droit avec un plein pouvoir d'examen (art. 310 CPC).</w:t>
      </w:r>
    </w:p>
    <w:p>
      <w:r>
        <w:rPr>
          <w:b/>
        </w:rPr>
        <w:t>E. 1.4</w:t>
      </w:r>
    </w:p>
    <w:p>
      <w:r>
        <w:t>Lorsque le litige porte sur la contribution d'entretien d'un enfant mineur lors de l'introduction de la procédure, les maximes d'office et inquisitoire illimitée s'appliquent (art. 296 al. 1 et 3 CPC), de sorte que la Cour n'est ainsi liée ni par les conclusions des parties sur ce point (art. 296 al. 3 CPC) ni par l'interdiction de la reformatio in pejus (ATF 129 III 417 consid. 2.1.1; arrêt du Tribunal fédéral 5A_757/2013 du 14 juillet 2014 consid. 2.1).</w:t>
      </w:r>
    </w:p>
    <w:p>
      <w:r>
        <w:rPr>
          <w:b/>
        </w:rPr>
        <w:t>E. 2</w:t>
      </w:r>
    </w:p>
    <w:p>
      <w:r>
        <w:t>L'appelante critique le refus du premier juge d'allouer une contribution d'entretien à l'enfant et à elle-même.</w:t>
      </w:r>
    </w:p>
    <w:p>
      <w:r>
        <w:rPr>
          <w:b/>
        </w:rPr>
        <w:t>E. 2.1.1</w:t>
      </w:r>
    </w:p>
    <w:p>
      <w:r>
        <w:t>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rPr>
          <w:b/>
        </w:rPr>
        <w:t>E. 2.1.2</w:t>
      </w:r>
    </w:p>
    <w:p>
      <w:r>
        <w:t>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w:t>
      </w:r>
    </w:p>
    <w:p>
      <w:r>
        <w:t>- 6/13 -</w:t>
      </w:r>
    </w:p>
    <w:p>
      <w:r>
        <w:t>C/3440/2016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 certaines primes d'assurances non obligatoires (RC privée, ménage, complémen- taires d'assurance maladie; BASTONS BULLETTI, L'entretien après divorce : méthodes de calcul, montant, durée et limites, in SJ 2007 II p. 90).</w:t>
      </w:r>
    </w:p>
    <w:p>
      <w:r>
        <w:rPr>
          <w:b/>
        </w:rPr>
        <w:t>E. 2.1.3</w:t>
      </w:r>
    </w:p>
    <w:p>
      <w:r>
        <w:t>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rPr>
          <w:b/>
        </w:rPr>
        <w:t>E. 2.1.4</w:t>
      </w:r>
    </w:p>
    <w:p>
      <w:r>
        <w:t>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w:t>
      </w:r>
    </w:p>
    <w:p>
      <w:r>
        <w:t>- 7/13 -</w:t>
      </w:r>
    </w:p>
    <w:p>
      <w:r>
        <w:t>C/3440/2016 possibilité effective d'exercer l'activité ainsi déterminée et quel revenu elle peut en obtenir compte tenu des circonstances subjectives susmentionnées ainsi que du marché du travail est en revanche une question de fait (ATF 137 III 102 consid. 4.2.2.2; 118 consid. 3.2; 128 III 4 consid. 4c/bb; 126 III 10 consid. 2b).</w:t>
      </w:r>
    </w:p>
    <w:p>
      <w:r>
        <w:t>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du Tribunal fédéral 5A_256/2015 du 13 août 2015 consid. 3.2.1). C'est pourquoi on lui accorde généralement un certain délai pour s'organiser à ces fins (ATF 129 III 417 consid. 2.2; 114 II 13 consid. 5; arrêt du Tribunal fédéral 5A_651/2014 du 27 janvier 2015 consid. 3.1 et la jurisprudence citée). Il n'est pas arbitraire de ne pas octroyer un délai à la personne qui renonce volontairement à une partie de ses ressources.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5A_372/2016 du 18 novembre 2016 consid. 3.1; 5A_317/2011 du 22 novembre 2011 consid. 6.2, non publié aux ATF 137 III 614; arrêts 5A_612/2011 du 27 février 2012 consid. 2.1; 5A_341/2011 du 20 septembre 2011 consid. 2.5.1). De même, lorsque le débirentier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du 14 février 2017 consid. 5.1; 5A_318/2014 du 24 juin 2014 consid. 3.1.3.2; 5A_662/2013 du 24 juin 2014 consid. 3.2.1 in fine; 5A_587/2013 du 26 novembre 2013 consid. 6.1.1).</w:t>
      </w:r>
    </w:p>
    <w:p>
      <w:r>
        <w:t>- 8/13 -</w:t>
      </w:r>
    </w:p>
    <w:p>
      <w:r>
        <w:t>C/3440/2016 Il en va ainsi lorsque le débirentier quitte la Suisse pour se rendre dans un pays où il réalise des revenus significativement plus bas.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 8 juin 2007 consid. 3.3 et l'arrêt cité 5C.154/1996 du 2 septembre 1997 consid. 3b). Dans la cause 5A_662/2013 précitée, il a été retenu que le débirentier ne saurait alléguer que son contrat de travail a été résilié avec effet immédiat pour faute professionnelle, sans avoir procédé à de véritables recherches d'emploi ni déposé de postulation. Il n'a pas été tenu compte du fait que les parents et le frère du débirentier vivaient dans sa région d'origine où il était retourné s'installer, après 12 ans passés en Suisse.</w:t>
      </w:r>
    </w:p>
    <w:p>
      <w:r>
        <w:rPr>
          <w:b/>
        </w:rPr>
        <w:t>E. 2.2</w:t>
      </w:r>
    </w:p>
    <w:p>
      <w:r>
        <w:t>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137 III 102 consid. 4.1.1; arrêt 5A_767/2011 du 1 er juin 2012 consid. 5.2.1, publié in FamPra.ch 2012, p. 1150).</w:t>
      </w:r>
    </w:p>
    <w:p>
      <w:r>
        <w:rPr>
          <w:b/>
        </w:rPr>
        <w:t>E. 2.3</w:t>
      </w:r>
    </w:p>
    <w:p>
      <w:r>
        <w:t>En l'espèce, après déduction des allocations familiales, les charges de l'enfant représentent mensuellement quelque 820 fr. par mois (1'116 fr. - 300 fr.).</w:t>
      </w:r>
    </w:p>
    <w:p>
      <w:r>
        <w:rPr>
          <w:b/>
        </w:rPr>
        <w:t>E. 2.4</w:t>
      </w:r>
    </w:p>
    <w:p>
      <w:r>
        <w:t>L'appelante couvre ses propres charges avec le revenu de son travail et demeure avec un disponible de quelque 170 fr. (2'815 fr. - 2'646 fr.), qui ne lui permet pas d'assurer l'entretien de sa fille. Cependant, puisque les charges incompressibles de l'appelante, qui dispose de la garde sur l'enfant mineur, sont couvertes par le revenu de son travail, il n'y a pas lieu de lui octroyer une contribution de prise en charge.</w:t>
      </w:r>
    </w:p>
    <w:p>
      <w:r>
        <w:rPr>
          <w:b/>
        </w:rPr>
        <w:t>E. 2.5</w:t>
      </w:r>
    </w:p>
    <w:p>
      <w:r>
        <w:t>Quant à l'intimé, il parvient à couvrir, en Chine et conformément à ses déclarations et aux pièces produites, ses propres charges par son revenu, mais ne conserve aucun montant disponible mensuellement. Se pose donc la question de l'imputation d'un revenu hypothétique à l'intimé, prônée par l'appelante, afin de couvrir, en premier lieu, les charges de l'enfant.</w:t>
      </w:r>
    </w:p>
    <w:p>
      <w:r>
        <w:t>Il ressort du jugement de première instance que le premier juge a considéré que l'intimé était en mesure de réaliser un revenu hypothétique à concurrence de 6'000 fr., mais que la condamnation à verser une contribution d'entretien en faveur de l'enfant serait vaine.</w:t>
      </w:r>
    </w:p>
    <w:p>
      <w:r>
        <w:t>- 9/13 -</w:t>
      </w:r>
    </w:p>
    <w:p>
      <w:r>
        <w:t>C/3440/2016</w:t>
      </w:r>
    </w:p>
    <w:p>
      <w:r>
        <w:t>Il ressort du dossier que l'intimé a connu une carrière dans le domaine ______ qu'il décrit lui-même comme jalonnée de succès au sein d'établissements de renom. Il percevait à cette époque un salaire de l'ordre de 6'000 fr. mensuels nets. Aucun élément ne permet de savoir pour quelle raison il a quitté cette situation professionnelle stable. En particulier, l'intimé n'a fourni aucune preuve permettant de justifier de la suite de son parcours, soit des recherches d'emplois infructueuses, des attestations de chômage, etc. Il s'est limité à alléguer que ces documents avaient disparu dans un sinistre survenu à son domicile, sans toutefois fournir les efforts que l'on pouvait attendre de lui pour démontrer des tentatives de recherche d'emploi par exemple et ce malgré les relances du Tribunal. Il appert ainsi que l'intimé a renoncé, volontairement, pour se lancer dans une activité indépendante hasardeuse, à une situation financière stable qui permettait de couvrir les besoins de sa famille, avant de se rendre in fine à l'étranger pour gagner un salaire de l'ordre de 1'000 fr. par mois qui couvre à peine ses charges mensuelles.</w:t>
      </w:r>
    </w:p>
    <w:p>
      <w:r>
        <w:t>Il en découle qu'il faut retenir que l'intimé a choisi librement de ne pas exploiter complètement sa capacité financière, en renonçant à un travail rémunérateur et en transférant son domicile à l'étranger. Il n'a pas démontré avoir effectué les recherches idoines pour lui permettre de réaliser un revenu acceptable. Ces décisions ont été prises alors que l'intimé savait qu'il devait assumer des obligations d'entretien envers un enfant mineur.</w:t>
      </w:r>
    </w:p>
    <w:p>
      <w:r>
        <w:t>Ainsi, une augmentation du revenu de l'intimé peut être raisonnablement exigée de lui, puisque, eu égard à son expérience professionnelle, à son âge, soit 47 ans, et à son état de santé, il est en mesure de revenir en Suisse et de reprendre un emploi similaire à celui qu'il occupait précédemment, soit un travail de bureau dans ______ ou un établissement ______ comparable.</w:t>
      </w:r>
    </w:p>
    <w:p>
      <w:r>
        <w:t>Il ressort des données statistiques consultables sur Internet de l'Observatoire genevois du marché du travail qu'une personne née en 1970, n'ayant aucune formation à part l'école obligatoire, travaillant dans le secteur des services financiers ou activités auxiliaires, sans fonction de cadre et en qualité d'employé de bureau réalise un revenu mensuel brut médian de l'ordre de 7'310 fr. et que 25% des employés ayant ce profil perçoivent moins de 6'330 fr.</w:t>
      </w:r>
    </w:p>
    <w:p>
      <w:r>
        <w:t>Dès lors qu'il est notoire que, dans le domaine ______, des emplois pour des personnes expérimentées et ayant travaillé dans des établissements renommés existent et que l'intimé n'a ni allégué, ni démontré pour quelles raisons il ne pourrait pas en obtenir un, il sera retenu que l'intimé est en mesure de trouver un tel emploi. Le revenu qu'il pourrait obtenir sera néanmoins limité à 5'500 fr. nets par mois, soit la fourchette inférieure de la statistique, en raison de son absence du marché du travail en Suisse pendant plusieurs années, facteur qui pourrait péjorer</w:t>
      </w:r>
    </w:p>
    <w:p>
      <w:r>
        <w:t>- 10/13 -</w:t>
      </w:r>
    </w:p>
    <w:p>
      <w:r>
        <w:t>C/3440/2016 ses prétentions salariales par rapport à des personnes du même âge n'ayant pas connu d'interruptions dans leur carrière.</w:t>
      </w:r>
    </w:p>
    <w:p>
      <w:r>
        <w:t>Puisque l'intimé devra résider en Suisse pour obtenir ce salaire, il convient d'arrêter ses charges hypothétiques dans ce pays. A titre de loyer, il sera retenu le loyer moyen pour un logement de quatre pièces - afin de lui permettre d'exercer son droit de visite - attribué à un nouveau locataire, soit quelque 2'000 fr. (source : Office cantonal de la statistique). La prime d'assurance-maladie sera arrêtée à la prime moyenne cantonale, soit 580 fr. (source : Office fédéral de la santé publique). Un montant de 70 fr. sera retenu pour les transports. Les impôts seront estimés à 600 fr., compte tenu de la contribution d'entretien versée, dès lors que la situation financière des parties autorise à les comptabiliser. Enfin, le montant de base OP sera fixé à 1'200 fr. pour une personne seule. Ainsi, les charges totales de l'intimé seront arrêtées à 4'450 fr. par mois. Le montant disponible de l'intimé sera donc mensuellement de quelque 1'000 fr.</w:t>
      </w:r>
    </w:p>
    <w:p>
      <w:r>
        <w:t>Dans la mesure où le déficit de l'enfant est de 820 fr., l'intimé sera condamné à verser ce montant à l'appelante pour l'entretien de leur fille, jusqu'à sa majorité voire au-delà en cas de poursuite d'études sérieuses et suivies.</w:t>
      </w:r>
    </w:p>
    <w:p>
      <w:r>
        <w:t>Il ne sera pas octroyé de délai à l'appelant pour s'organiser à cette fin, car il sait depuis plusieurs années, en particulier depuis le prononcé sur mesures protectrices, qu'il devait trouver un emploi en Suisse à la hauteur de sa capacité de gain et qu'il n'a effectué aucune démarche en ce sens. Il a donc volontairement quitté un emploi et diminué sa capacité financière en s'installant à l'étranger, ce qui autorise à ordonner le paiement de la contribution avec effet immédiat.</w:t>
      </w:r>
    </w:p>
    <w:p>
      <w:r>
        <w:rPr>
          <w:b/>
        </w:rPr>
        <w:t>E. 2.6</w:t>
      </w:r>
    </w:p>
    <w:p>
      <w:r>
        <w:t>Au vu des faibles montants disponibles mensuels respectifs des parties, soit 170 fr. pour l'appelante et 180 fr. pour l'intimé, ainsi que du fait que ces montants sont presque égaux, il ne se justifie pas de procéder à une répartition de ces montants au titre d'une contribution d'entretien de l'épouse. Les deux époux étant limités à leur minimum vital, impôts compris, ils se trouvent donc dans des situations similaires.</w:t>
      </w:r>
    </w:p>
    <w:p>
      <w:r>
        <w:t>Il n'y a ainsi pas lieu d'examiner les griefs de l'appelante à ce sujet.</w:t>
      </w:r>
    </w:p>
    <w:p>
      <w:r>
        <w:t>Le refus d'allouer une contribution d'entretien à l'appelante sera donc confirmé.</w:t>
      </w:r>
    </w:p>
    <w:p>
      <w:r>
        <w:rPr>
          <w:b/>
        </w:rPr>
        <w:t>E. 2.7</w:t>
      </w:r>
    </w:p>
    <w:p>
      <w:r>
        <w:t>L'appel sera partiellement admis et le jugement réformé en conséquence.</w:t>
      </w:r>
    </w:p>
    <w:p>
      <w:r>
        <w:rPr>
          <w:b/>
        </w:rPr>
        <w:t>E. 3.1</w:t>
      </w:r>
    </w:p>
    <w:p>
      <w:r>
        <w:t>Si l'instance d'appel statue à nouveau, elle se prononce sur les frais de la première instance (art. 318 al. 3 CPC).</w:t>
      </w:r>
    </w:p>
    <w:p>
      <w:r>
        <w:t>Les frais de première instance ne sont pas remis en cause par les parties et sont au demeurant conformes aux dispositions applicables.</w:t>
      </w:r>
    </w:p>
    <w:p>
      <w:r>
        <w:t>- 11/13 -</w:t>
      </w:r>
    </w:p>
    <w:p>
      <w:r>
        <w:t>C/3440/2016</w:t>
      </w:r>
    </w:p>
    <w:p>
      <w:r>
        <w:t>Ainsi, la décision entreprise sera confirmée en tant qu'elle porte sur les frais.</w:t>
      </w:r>
    </w:p>
    <w:p>
      <w:r>
        <w:rPr>
          <w:b/>
        </w:rPr>
        <w:t>E. 3.2</w:t>
      </w:r>
    </w:p>
    <w:p>
      <w:r>
        <w:t>Les frais judiciaires d'appel seront fixés à 1'250 fr. (art. 28 et 37 RTFMC). Ils seront compensés avec l'avance fournie par l'appelante, qui demeure acquise à l'Etat de Genève (art. 111 al. 1 1ère phr. CPC). Dans la mesure où l'appelante n'obtient gain de cause que sur une partie de ses conclusions et en raison de la nature familiale du litige, les frais d'appel seront mis à charge des parties par moitié (art. 95, 104 al. 1, 105, 106 et 107 al. 1 let. c CPC).</w:t>
      </w:r>
    </w:p>
    <w:p>
      <w:r>
        <w:t>Aucune des deux parties n'ayant conclu à des dépens, il n'en sera point alloué. * * * * * *</w:t>
      </w:r>
    </w:p>
    <w:p>
      <w:r>
        <w:t>- 12/13 -</w:t>
      </w:r>
    </w:p>
    <w:p>
      <w:r>
        <w:t>C/3440/2016 PAR CES MOTIFS, La Chambre civile : A la forme : Déclare recevable l'appel interjeté par A______ contre le jugement JTPI/13406/2017 rendu le 18 octobre 2017 par le Tribunal de première instance dans la cause C/3440/2016-20. Au fond : Annule les chiffres 4 et 5 du dispositif du jugement entrepris et statuant à nouveau : Condamne B______ à verser en mains de A______, par mois et d'avance, allocations familiales non comprises, 820 fr. à titre de contribution d'entretien de l'enfant D______, jusqu'à sa majorité voire au-delà en cas d'études ou de formation professionnelle sérieuses et suivies. Confirme pour le surplus le jugement entrepris. Déboute les parties de toutes autres conclusions. Sur les frais : Arrête les frais judiciaires de la procédure d'appel à 1'250 fr., les compense avec l'avance fournie qui demeure acquise à l'Etat et les met à charge des parties par moitié chacune. Condamne B______ à verser 625 fr. à A______ à titre de frais judiciaires d'appel. Dit qu'il n'est pas alloué de dépens d'appel. Siégeant : Monsieur Laurent RIEBEN, président; Monsieur Patrick CHENAUX, Madame Fabienne GEISINGER-MARIETHOZ, juges; Madame Camille LESTEVEN, greffière.</w:t>
      </w:r>
    </w:p>
    <w:p>
      <w:r>
        <w:t>Le président : Laurent RIEBEN</w:t>
      </w:r>
    </w:p>
    <w:p>
      <w:r>
        <w:t>La greffière : Camille LESTEVEN</w:t>
      </w:r>
    </w:p>
    <w:p>
      <w:r>
        <w:t>- 13/13 -</w:t>
      </w:r>
    </w:p>
    <w:p>
      <w:r>
        <w:t>C/3440/2016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