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ACJC/664/2017 vom 23. Januar 2017</w:t>
      </w:r>
    </w:p>
    <w:p>
      <w:r>
        <w:t>GE Cour de justice, 2017-01-23, FR</w:t>
      </w:r>
    </w:p>
    <w:p>
      <w:r>
        <w:rPr>
          <w:b/>
        </w:rPr>
        <w:t xml:space="preserve">Quelle: </w:t>
      </w:r>
      <w:r>
        <w:t>https://mcp.opencaselaw.ch/entscheid/ge_gerichte_ACJC_664_2017</w:t>
      </w:r>
    </w:p>
    <w:p>
      <w:r>
        <w:t>FR: GE_GERICHTE ACJC/664/2017 du 23 janvier 2017</w:t>
      </w:r>
    </w:p>
    <w:p>
      <w:r>
        <w:t>IT: GE_GERICHTE ACJC/664/2017 del 23 gennaio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2</w:t>
      </w:r>
    </w:p>
    <w:p>
      <w:r>
        <w:t>La Cour revoit la cause avec un plein pouvoir d'examen (art. 310 CPC), sa cognition étant toutefois limitée à la simple vraisemblance des faits et à un</w:t>
      </w:r>
    </w:p>
    <w:p>
      <w:r>
        <w:t>- 7/17 -</w:t>
      </w:r>
    </w:p>
    <w:p>
      <w:r>
        <w:t>C/11897/2016</w:t>
      </w:r>
    </w:p>
    <w:p>
      <w:r>
        <w:t>examen sommaire du droit, l'exigence de célérité étant privilégiée par rapport à celle de sécurité (ATF 127 III 474 consid. 2b/bb, JdT 2002 I 352; arrêt du Tribunal fédéral 5A_762/2013 du 27 mars 2014 consid. 2.2).</w:t>
      </w:r>
    </w:p>
    <w:p>
      <w:r>
        <w:t>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3</w:t>
      </w:r>
    </w:p>
    <w:p>
      <w:r>
        <w:t>L'intimé a produit des pièces nouvelles à l'appui de sa réponse.</w:t>
      </w:r>
    </w:p>
    <w:p>
      <w:r>
        <w:rPr>
          <w:b/>
        </w:rPr>
        <w:t>E. 3.1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Les faits notoires ne doivent être ni allégués ni prouvés. Constituent notamment des tels faits les inscriptions dans les registres publics, accessibles par Internet (art. 151 CPC; arrêt du Tribunal fédéral 4A_645/2011 du 27 janvier 2012 consid. 3.4.2).</w:t>
      </w:r>
    </w:p>
    <w:p>
      <w:r>
        <w:rPr>
          <w:b/>
        </w:rPr>
        <w:t>E. 3.2</w:t>
      </w:r>
    </w:p>
    <w:p>
      <w:r>
        <w:t>En l'espèce, les pièces n° 30, 32 et 34 produites par l'intimé à l'appui de sa réponse, ainsi que les faits qui s'y rapportent, ne sont pas recevables en appel, dès lors qu'ils sont antérieures à la clôture de première instance. La pièce n° 35, soit une attestation d'assurance portant sur un fait datant de 2015, aurait pu être obtenue avant la clôture de la procédure de première instance et n'est donc pas recevable. La pièce n° 31, établie le 28 février 2017, est recevable. Enfin, les pièces n° 33 et 36 constituent des impressions de sites officiels attestant de faits notoires qui sont donc recevables.</w:t>
      </w:r>
    </w:p>
    <w:p>
      <w:r>
        <w:rPr>
          <w:b/>
        </w:rPr>
        <w:t>E. 4</w:t>
      </w:r>
    </w:p>
    <w:p>
      <w:r>
        <w:t>L'appelante reproche au Tribunal le montant insuffisant de la contribution d'entretien qui lui a été allouée, fixée à 3'000 fr. par mois.</w:t>
      </w:r>
    </w:p>
    <w:p>
      <w:r>
        <w:rPr>
          <w:b/>
        </w:rPr>
        <w:t>E. 4.1</w:t>
      </w:r>
    </w:p>
    <w:p>
      <w:r>
        <w:t>En cas de suspension de la vie commune, la loi prévoit que le juge fixe la contribution pécuniaire à verser à l'époux (art. 176 al. 1 ch. 1 CC).</w:t>
      </w:r>
    </w:p>
    <w:p>
      <w:r>
        <w:t>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- 8/17 -</w:t>
      </w:r>
    </w:p>
    <w:p>
      <w:r>
        <w:t>C/11897/2016</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faut se fonder sur les dépenses nécessaires au maintien du train de vie (ATF 115 II 424 consid. 2), méthode qui implique un calcul concret (arrêt du Tribunal fédéral 5A_661/2011 du 10 février 2012 consid. 4.2.1, 5A_732/2007 du 4 avril 2008 consid. 2.2).</w:t>
      </w:r>
    </w:p>
    <w:p>
      <w:r>
        <w:t>Une "situation économique favorable" se présente en cas de revenus au-dessus de la moyenne, soit au-delà de 13'000 fr par mois sans charge de loyer (arrêt du Tribunal fédéral 5A_584/2008 du 6 mai 2009 consid. 4; DE WECK-IMMELE, Droit matrimonial : fond et procédure : droit privé, procédure civile, droit international privé, droit des assurances sociales, droit fiscal, BOHNET/GUILLOD éd., Zurich 2016, n. 156 ad art. 176). L'application de la méthode concrète ne dispense pas le crédirentier de son devoir de collaborer et donc de préciser les dépenses nécessaires à son train de vie de rendre celles-ci vraisemblables (DE WECK-IMMELE, op. cit., n. 159 ad art. 176).</w:t>
      </w:r>
    </w:p>
    <w:p>
      <w:r>
        <w:t>Le minimum vital du débirentier doit dans tous les cas être préservé (ATF 135 III 66, JdT 2010 I 167; 127 III 68 consid. 2, SJ 2001 I 280; arrêt du Tribunal fédéral 5A_662/2013 du 24 juin 2014 consid. 3.2.1).</w:t>
      </w:r>
    </w:p>
    <w:p>
      <w:r>
        <w:rPr>
          <w:b/>
        </w:rPr>
        <w:t>E. 4.2</w:t>
      </w:r>
    </w:p>
    <w:p>
      <w:r>
        <w:t>A teneur de l'art. 21 al. 1 let. b LIFD, est imposable le rendement de la fortune immobilière, en particulier la valeur locative des immeubles ou de parties d'immeubles dont le contribuable se réserve l'usage en raison de son droit de propriété ou d'un droit de jouissance obtenu à titre gratuit.</w:t>
      </w:r>
    </w:p>
    <w:p>
      <w:r>
        <w:t>Ainsi, la cession de l'usage de la maison à l'époux séparé ou divorcé, sans inscription au registre foncier d'un droit d'usufruit ou d'habitation, constitue également un usage propre pour l'époux propriétaire cédant cet usage, ce dernier étant alors imposable sur la valeur locative. L'époux cédant l'usage de l'immeuble peut toutefois déduire le montant de la valeur locative dans sa déclaration fiscale, à titre de pension alimentaire au sens de l'art. 33 al. 1 let. c LIFD. En effet, le contribuable qui verse des contributions d'entretien à son époux séparé de fait ou de droit ou divorcé peut les déduire entièrement de son revenu, alors que l'époux qui les reçoit doit payer l'impôt sur ces contributions (art. 23 let. f LIFD), en vertu du principe de correspondance qui veut que toutes les contributions d'entretien qui sont imposables pour l'époux qui les reçoit sont déductibles pour l'époux qui les verse; ce régime fiscal est applicable à toutes les contributions d'entretien, qu'elles prennent la forme d'une rente en argent, ou une autre forme, comme le paiement</w:t>
      </w:r>
    </w:p>
    <w:p>
      <w:r>
        <w:t>- 9/17 -</w:t>
      </w:r>
    </w:p>
    <w:p>
      <w:r>
        <w:t>C/11897/2016</w:t>
      </w:r>
    </w:p>
    <w:p>
      <w:r>
        <w:t>du loyer ou des intérêts hypothécaires ou celles de prestations en nature (ATA/1089/2016 du 20 décembre 2016 consid. 20; Circulaire n° 30 du 21 décembre 2010 de l'Administration fédérale des contributions sur l'imposition des époux et de la famille selon la loi fédérale sur l'impôt fédéral direct ch. 14.1.2; MERLINO, Commentaire Romand LIFD, 2ème éd., Bâle 2017, n. 93 ad. art. 21).</w:t>
      </w:r>
    </w:p>
    <w:p>
      <w:r>
        <w:t>L’art. 33 LIPP a la même teneur que l'art. 33 al. 1 let. c LIFD. Les mêmes principes sont par conséquent applicables à l’IFD et à l’ICC (ATA/95/2012 du 21 février 2012 consid. 4b; ATA/37/2011 du 25 janvier 2011 consid. 8).</w:t>
      </w:r>
    </w:p>
    <w:p>
      <w:r>
        <w:t>Les propriétaires d'immeuble ont la possibilité de faire valoir des déductions sur le revenu immobilier (art. 34 let. d LIPP; art. 32 al. 2 LIFD). Peuvent être déduits soit les frais effectifs, soit les frais forfaitaires. Les frais forfaitaires, au niveau cantonal et fédéral, sont de 10% de la valeur locative, si l'âge du bâtiment est inférieur ou égal à 10 ans (art. 20 al. 2 let. b RIPP; art. 2 al. 2 let. a de l'ordonnance sur la déduction des frais relatifs aux immeubles privés dans le cadre de l'impôt fédéral direct).</w:t>
      </w:r>
    </w:p>
    <w:p>
      <w:r>
        <w:rPr>
          <w:b/>
        </w:rPr>
        <w:t>E. 4.3</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t>4.4.1 En l'espèce, le Tribunal a appliqué la méthode fondée sur le train de vie antérieur du couple, ce qui n'est à juste titre pas contesté au vu de la situation personnelle et financière des parties.</w:t>
      </w:r>
    </w:p>
    <w:p>
      <w:r>
        <w:t>4.4.2 L'appelante se prévaut du fait que le montant des revenus de l'intimé a été sous-estimé par le Tribunal, de même que le total de ses charges.</w:t>
      </w:r>
    </w:p>
    <w:p>
      <w:r>
        <w:t>Il ressort des pièces produites que le revenu mensuel de l'intimé est de quelque 58'000 fr. bruts avant impôts.</w:t>
      </w:r>
    </w:p>
    <w:p>
      <w:r>
        <w:t>En ce qui concerne les charges de l'appelante, il est établi par pièces que celle-ci bénéficie d'un abonnement annuel des TPG, coûtant 500 fr., et que la participation de son employeur est de 100 fr., qui ne font pas partie du salaire, contrairement à ce que l'appelante soutient. Ainsi, le raisonnement du premier juge est conforme au dossier.</w:t>
      </w:r>
    </w:p>
    <w:p>
      <w:r>
        <w:t>L'appelante reproche ensuite au Tribunal d'avoir méconnu qu'elle vivait dans une commune aisée et appartenait à un milieu social élevé, ce qui justifiait des dépenses plus importantes en alimentation, décoration, vêtements, pressing, restaurant, loisirs et vacances. L'appelante n'expose pas en quoi la localisation du</w:t>
      </w:r>
    </w:p>
    <w:p>
      <w:r>
        <w:t>- 10/17 -</w:t>
      </w:r>
    </w:p>
    <w:p>
      <w:r>
        <w:t>C/11897/2016</w:t>
      </w:r>
    </w:p>
    <w:p>
      <w:r>
        <w:t>domicile conjugal dans une commune plutôt qu'une autre justifierait d'augmenter son train de vie, n'allègue pas participer à des événements particuliers qui justifieraient des frais de représentation plus importants et ne prétend pas que le Tribunal aurait mal apprécié les preuves.</w:t>
      </w:r>
    </w:p>
    <w:p>
      <w:r>
        <w:t>Cependant, l'appelante invoque que l'essentiel de certaines dépenses - en particulier s'agissant des loisirs et du restaurant - étaient assumées par l'intimé et qu'il lui était donc difficile de les prouver. Ainsi, le montant alloué pour le restaurant par le premier juge est de 175 fr., ce qui correspond au montant auquel l'intimé a acquiescé. En moyenne et au vu des prix pratiqués à Genève, cette somme correspond tout au plus à deux ou trois repas pris en soirée dans un restaurant par une personne seule. Or, l'appelante rend vraisemblable que son époux, compte tenu de la différence substantielle de revenus qui existait entre eux, payait les notes de restaurant du couple. Par ailleurs, au vu du niveau de revenus du couple, il apparaît vraisemblable que celui-ci mangeait plus de trois fois au restaurant par mois. Il apparaît donc justifié d'allouer une somme plus importante à ce titre. Si 800 fr., soit environ dix repas au restaurant paraissent excessifs, il semble que la somme de 600 fr. soit vraisemblablement mieux à même de tenir compte du train de vie antérieur des époux. Ainsi, le montant alloué par le Tribunal sera augmenté de 425 fr.</w:t>
      </w:r>
    </w:p>
    <w:p>
      <w:r>
        <w:t>Le même raisonnement s'applique à la solution retenue par le Tribunal pour les dépenses alimentaires, lesquelles ont été fixées à 400 fr., ce qui paraît insuffisant compte tenu des revenus cumulés du couple pendant la vie commune. Un montant de 1'000 fr., soit un peu plus de 30 fr. en moyenne par jour pour une personne seule, est davantage en adéquation avec le niveau de vie des époux pendant la vie commune. Ainsi, le montant alloué par le Tribunal sur ce point sera augmenté de 600 fr.</w:t>
      </w:r>
    </w:p>
    <w:p>
      <w:r>
        <w:t>Selon l'appelante, le Tribunal aurait dû tenir compte de l'amortissement d'"appareils" et lui octroyer un montant au titre d'"imprévus et réparations diverses". L'appelante ne rend cependant pas vraisemblable et ne détaille pas davantage quel genre de dépenses imprévisibles pourraient être retenues à ce titre. Elle a certes produit une facture pour un ordinateur, qui n'est pas à son nom, mais n'étaye par aucune autre pièce ses prétentions. La villa dans laquelle elle réside étant très récente, l'on ne discerne pas, au stade des mesures protectrices, quelle charge supplémentaire pourrait entrer en considération à ce titre.</w:t>
      </w:r>
    </w:p>
    <w:p>
      <w:r>
        <w:t>S'agissant des chats de l'appelante, le Tribunal a tenu compte des dépenses nécessaires pour leur entretien, en 137 fr. (assurance, frais vétérinaires, nourriture). Le montant invoqué par l'appelante, soit près de 200 fr., est hors de proportion avec les besoins usuels d'un félin domestique. Les pièces qu'elle produit à ce titre, soit des listes imprécises et tronquées, sont peu probantes. Les frais de pension ne sont pas démontrés et ne paraissent pas nécessaires,</w:t>
      </w:r>
    </w:p>
    <w:p>
      <w:r>
        <w:t>- 11/17 -</w:t>
      </w:r>
    </w:p>
    <w:p>
      <w:r>
        <w:t>C/11897/2016</w:t>
      </w:r>
    </w:p>
    <w:p>
      <w:r>
        <w:t>puisqu'il est vraisemblable que l'appelante gardienne ses animaux de compagnie gratuitement par l'entremise de tiers en son absence, ainsi que l'allègue l'intimé.</w:t>
      </w:r>
    </w:p>
    <w:p>
      <w:r>
        <w:t>La critique du poste "soins esthétiques" est dénuée de fondement puisque le Tribunal a donné une suite favorable aux conclusions de l'appelante sur ce point.</w:t>
      </w:r>
    </w:p>
    <w:p>
      <w:r>
        <w:t>Le raisonnement du Tribunal sur le montant retenu pour une femme de ménage ne prête pas davantage le flanc à la critique, puisqu'il est vraisemblable que, compte tenu du taux d'activité réduit de l'appelante, elle soit en mesure d'assurer elle- même l'entretien de sa maison, faute d'une quelconque preuve tendant à démontrer l'emploi régulier d'une femme de ménage pendant la vie commune.</w:t>
      </w:r>
    </w:p>
    <w:p>
      <w:r>
        <w:t>L'appelante ne démontre pas davantage l'utilisation intensive qu'elle prétend faire de sa voiture et, par extension, les dépenses qu'elle subirait en carburant, étant précisé qu'elle bénéficie d'un abonnement des transports publics ainsi que cela a été mentionné ci-dessus. Une référence aux statistiques suisses d'utilisation des véhicules est sans pertinence. Le premier juge a, en outre, tenu compte d'un montant pour le lavage du véhicule, de sorte que la critique de l'appelante sur ce point tombe à faux. Cependant, il est notoire que l'utilisation d'une voiture nécessite des frais en termes d'amortissement de celle-ci et d'entretien mécanique. Ainsi, il semble justifié de retenir un montant équivalent à 300 fr. par mois à ce titre compte de l'âge et de la valeur neuve de la voiture.</w:t>
      </w:r>
    </w:p>
    <w:p>
      <w:r>
        <w:t>S'agissant des frais d'entretien de l'ancienne villa conjugale, ceux-ci n'ont pas été déterminés correctement par le premier juge, ainsi que le reconnaît l'intimé. Il est ainsi vraisemblable, sur la base des états de frais 2015 et 2016, que ceux-ci avoisinent les 13'000 fr. par an (soit 1'083 fr. par mois). Cependant, les critiques de l'appelante sur la prétendue résiliation de précédents abonnements ne sont pas fondées, dès lors que les montants de 2015 et 2016 pour les frais d'entretien sont très similaires et ne dénotent pas une quelconque diminution. Le montant de 1'083 fr. sera donc retenu à titre d'entretien de la villa.</w:t>
      </w:r>
    </w:p>
    <w:p>
      <w:r>
        <w:t>Au vu de ce qui précède les charges de l'appelante telle que retenues par le Tribunal soit 4'247 fr. seront augmentées de 425 fr. pour le restaurant, 600 fr. pour les dépenses alimentaires et de 300 fr. pour tenir compte de l'amortissement et de l'entretien du véhicule, soit un total de 5'572 fr.</w:t>
      </w:r>
    </w:p>
    <w:p>
      <w:r>
        <w:t>Les montants de 5'572 fr., respectivement 1'083 fr., constituent donc les charges admissibles de l'appelante pour son entretien et l'entretien de la maison.</w:t>
      </w:r>
    </w:p>
    <w:p>
      <w:r>
        <w:t>4.4.3 Le Tribunal a retenu que la charge fiscale de l'appelante est de 1'330 fr., en tenant compte de la contribution d'entretien de 3'000 fr. que l'intimé doit lui verser.</w:t>
      </w:r>
    </w:p>
    <w:p>
      <w:r>
        <w:t>- 12/17 -</w:t>
      </w:r>
    </w:p>
    <w:p>
      <w:r>
        <w:t>C/11897/2016</w:t>
      </w:r>
    </w:p>
    <w:p>
      <w:r>
        <w:t>L'appelante conteste ce calcul. Elle soutient que la valeur locative de la villa sera prise en compte par le fisc en tant que revenu qu'elle perçoit et que cela augmentera donc sa charge fiscale.</w:t>
      </w:r>
    </w:p>
    <w:p>
      <w:r>
        <w:t>L'intimé estime qu'étant l'unique propriétaire économique de la villa et s'acquittant seul des charges hypothécaires, il serait seul imposé sur la valeur locative. Se référant au logiciel de calcul 2015 du fisc genevois, il estime que l'impôt prévisible de l'appelante serait de 1'357 fr. par mois. En outre, il soutient que l'allégué de l'appelante selon lequel la valeur locative devrait être fiscalement intégrée à son revenu est tardif.</w:t>
      </w:r>
    </w:p>
    <w:p>
      <w:r>
        <w:t>Sur ce dernier point, il faut d'emblée relever que l'appelante avait, dans son écriture introductive d'instance, déjà, invoqué que la valeur locative de la villa devait être intégrée dans ses revenus au point de vue fiscal. Cet allégué n'est donc pas tardif.</w:t>
      </w:r>
    </w:p>
    <w:p>
      <w:r>
        <w:t>En l'occurrence, il est vraisemblable que les époux sont copropriétaires à raison de 95%, respectivement 5%, de la villa occupée par l'appelante. Ainsi, l'intimé met gratuitement à disposition de son épouse sa part de copropriété et règle les intérêts hypothécaires. Conformément au droit fiscal, ces prestations peuvent être déduites du revenu de l'intimé à titre de contribution d'entretien de son épouse, de sorte que la valeur locative imputable à l'intimé sera absorbée fiscalement par la contribution d'entretien de même valeur versée à son épouse. Il en ira de même pour les paiements de charges hypothécaires, dont profite son épouse. Selon le principe de correspondance, il est donc conforme au droit fiscal de retenir comme revenus de l'appelante, outre son salaire et la contribution en argent fournie par l'intimé, les prestations en nature liées à la mise à disposition gratuite du logement conjugal, soit les montants relatifs à la valeur locative et au paiement des intérêts hypothécaires.</w:t>
      </w:r>
    </w:p>
    <w:p>
      <w:r>
        <w:t>Cela étant, ainsi que le plaide l'intimé, il faut déduire fiscalement de la valeur locative brute les frais d'entretien du bâtiment. L'intimé invoque comme déduction un montant de plus de 17'000 fr. lequel comprend, à bien lire les pièces qu'il a produites, l'électricité et l'eau, soit des charges non déductibles. Par ailleurs, le montant auquel il se réfère est celui des charges de 2014. Au stade des mesures protectrices et sous l'angle de la vraisemblance, il paraît plus équitable de retenir la déduction fiscale forfaitaire de 10% applicable à un immeuble récent, comme en l'espèce, pour tenir compte des frais prévisibles pour l'avenir. Par conséquent, la valeur locative imposable chez l'appelante au titre de revenu de l'entretien versé par l'époux et en son nom propre sera réduite à 35'762 fr. (90% de 39'736 fr.).</w:t>
      </w:r>
    </w:p>
    <w:p>
      <w:r>
        <w:t>Ainsi, la charge fiscale vraisemblablement prévisible de l'appelante doit être calculée en tenant compte d'un revenu annuel de 193'641 fr. [54'679 fr. (salaire net) + 60'000 fr. (contribution d'entretien en espèces telles que fixées ci-dessous)</w:t>
      </w:r>
    </w:p>
    <w:p>
      <w:r>
        <w:t>- 13/17 -</w:t>
      </w:r>
    </w:p>
    <w:p>
      <w:r>
        <w:t>C/11897/2016</w:t>
      </w:r>
    </w:p>
    <w:p>
      <w:r>
        <w:t>+ 43'200 fr. (charges hypothécaires annuelles payées par l'intimé) + 35'762 fr. (valeur locative nette de la villa)], sous déduction de la charge hypothécaire et des autres déductions usuelles invoquées par les parties. Le résultat est de 2'900 fr. mensuels selon la calculette fiscale 2017 disponible en ligne sur le site Internet de l'administration fiscale et utilisée par le Tribunal.</w:t>
      </w:r>
    </w:p>
    <w:p>
      <w:r>
        <w:t>4.4.4 Par conséquent, les charges totales de l'appelante nécessaires au maintien de son train de vie sont mensuellement de 9'555 fr. (5'572 fr. + 1'083 fr. + 2'900 fr.). Après déduction de son salaire, le budget de l'appelante présente un déficit de 5'000 fr. (9'555 fr. - 4'556 fr.) qui correspondra donc à la contribution d'entretien mensuelle de 5'000 fr. due par l'intimé.</w:t>
      </w:r>
    </w:p>
    <w:p>
      <w:r>
        <w:t>Le jugement entrepris sera donc annulé sur ce point et l'intimé condamné à verser une contribution mensuelle de 5'000 fr. à son épouse.</w:t>
      </w:r>
    </w:p>
    <w:p>
      <w:r>
        <w:t>Ce montant s'ajoutera à la mise à disposition par l'intimé du domicile conjugal et à la prise en charge du service de la dette hypothécaire par celui-ci.</w:t>
      </w:r>
    </w:p>
    <w:p>
      <w:r>
        <w:rPr>
          <w:b/>
        </w:rPr>
        <w:t>E. 4.5</w:t>
      </w:r>
    </w:p>
    <w:p>
      <w:r>
        <w:t>Le premier juge n'ayant pas statué sur le dies a quo de la contribution d'entretien il se justifie de le fixer, ainsi que l'appelante y a conclu, au 1er septembre 2015, date à laquelle les époux se sont séparés, soit moins d'une année avant l'introduction de la demande.</w:t>
      </w:r>
    </w:p>
    <w:p>
      <w:r>
        <w:rPr>
          <w:b/>
        </w:rPr>
        <w:t>E. 5</w:t>
      </w:r>
    </w:p>
    <w:p>
      <w:r>
        <w:t>L'appelante reproche au Tribunal d'avoir donné suite à la demande de blocage de l'intimé portant sur les remboursements d'acomptes dus par l'administration fiscale.</w:t>
      </w:r>
    </w:p>
    <w:p>
      <w:r>
        <w:rPr>
          <w:b/>
        </w:rPr>
        <w:t>E. 5.1</w:t>
      </w:r>
    </w:p>
    <w:p>
      <w:r>
        <w:t>L'art. 178 CC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w:t>
      </w:r>
    </w:p>
    <w:p>
      <w:r>
        <w:t>L'art. 178 CC tend à éviter qu'un époux, en procédant à des actes de disposition volontaires, se mette dans l'impossibilité de faire face à ses obligations pécuniaires envers son conjoint. Les droits patrimoniaux dont on entend ainsi assurer la protection sont notamment les expectatives en matière de liquidation du régime matrimonial (ATF 120 III 67; arrêt du Tribunal fédéral 5A_823/2013 du 8 mai 2014 consid. 4.1).</w:t>
      </w:r>
    </w:p>
    <w:p>
      <w:r>
        <w:t>L'époux requérant doit rendre vraisemblable, au vu d'indices objectifs, l'existence d'une mise en danger sérieuse, actuelle ou imminente des prétentions découlant du droit du mariage, soit le fait que son conjoint dilapide ou tente de dissimuler ses biens; l'existence d'une telle mise en danger n'a pas à être prouvée au sens strict. Il convient en particulier de rendre vraisemblable que, du fait du comportement de</w:t>
      </w:r>
    </w:p>
    <w:p>
      <w:r>
        <w:t>- 14/17 -</w:t>
      </w:r>
    </w:p>
    <w:p>
      <w:r>
        <w:t>C/11897/2016</w:t>
      </w:r>
    </w:p>
    <w:p>
      <w:r>
        <w:t>l'époux requis, des difficultés surviendront dans le recouvrement des créances découlant de la liquidation du régime matrimonial (ATF 118 II 378 consid. 3b; ISENRING/KESSLER, Basler Kommentar, ZGB I, 5ème éd. 2014, n. 11 ad art. 178 CC).</w:t>
      </w:r>
    </w:p>
    <w:p>
      <w:r>
        <w:rPr>
          <w:b/>
        </w:rPr>
        <w:t>E. 5.2</w:t>
      </w:r>
    </w:p>
    <w:p>
      <w:r>
        <w:t>À teneur de l'art. 31 al. 2 de la loi genevoise relative à la perception et aux garanties des impôts des personnes physiques et des personnes morales (LPGIP; D 3 18), lorsque des montants d'impôt perçus auprès de contribuables mariés, qui faisaient ménage commun, doivent être remboursés après leur divorce ou leur séparation en droit ou de fait, le remboursement est effectué par moitié à chacun d'eux. Les époux ou ex-époux peuvent toutefois présenter au département, dans le délai fixé par celui-ci, une convention signée par chacun d'eux prévoyant une clé de répartition différente.</w:t>
      </w:r>
    </w:p>
    <w:p>
      <w:r>
        <w:rPr>
          <w:b/>
        </w:rPr>
        <w:t>E. 5.3</w:t>
      </w:r>
    </w:p>
    <w:p>
      <w:r>
        <w:t>En l'espèce, il est établi que les acomptes provisionnels des époux ont été versés par l'intimé, de sorte qu'il est seul titulaire d'un éventuel droit au remboursement des montants payés en trop. Le refus de l'appelante de donner son accord à ce que l'entier desdits montants soient restitués à son époux, alors qu'elle est consciente qu'il est l'auteur des versements, rend vraisemblable l'existence d'un risque que, si ces montants étaient remis à l'appelante, elle ne les restitue pas à celui qui paraît, en l'état, en être l'ayant droit, soit l'intimé. De surcroît, l'appelante a expressément indiqué qu'elle entendait se prévaloir de compensation pour conserver par devers elle les montants ainsi perçus, démontrant par là qu'elle n'ignorait pas que ces sommes revenaient à son époux.</w:t>
      </w:r>
    </w:p>
    <w:p>
      <w:r>
        <w:t>Ainsi, les conditions pour un blocage provisionnel des sommes en mains de l'AFC sont réalisées. Les griefs de l'appelante sur ce point seront rejetés.</w:t>
      </w:r>
    </w:p>
    <w:p>
      <w:r>
        <w:rPr>
          <w:b/>
        </w:rPr>
        <w:t>E. 6</w:t>
      </w:r>
    </w:p>
    <w:p>
      <w:r>
        <w:t>Enfin, l'appelante reproche au premier juge d'avoir refusé de lui allouer une provisio ad litem de 10'000 fr.</w:t>
      </w:r>
    </w:p>
    <w:p>
      <w:r>
        <w:rPr>
          <w:b/>
        </w:rPr>
        <w:t>E. 6.1</w:t>
      </w:r>
    </w:p>
    <w:p>
      <w:r>
        <w:t>Si un époux ne dispose pas des moyens suffisants, il peut exiger de son conjoint, sur la base des articles 159 al. 3 et 163 CC, qu'il lui fasse l'avance des frais du procès (provisio ad litem)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w:t>
      </w:r>
    </w:p>
    <w:p>
      <w:r>
        <w:t>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w:t>
      </w:r>
    </w:p>
    <w:p>
      <w:r>
        <w:t>- 15/17 -</w:t>
      </w:r>
    </w:p>
    <w:p>
      <w:r>
        <w:t>C/11897/2016</w:t>
      </w:r>
    </w:p>
    <w:p>
      <w:r>
        <w:t>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w:t>
      </w:r>
    </w:p>
    <w:p>
      <w:r>
        <w:rPr>
          <w:b/>
        </w:rPr>
        <w:t>E. 6.2</w:t>
      </w:r>
    </w:p>
    <w:p>
      <w:r>
        <w:t>En l'espèce, le Tribunal a fondé son refus sur le fait que l'appelante possédait une épargne de quelque 30'000 fr. et n'était pas endettée. Partant, elle était en mesure de payer ses frais de procès.</w:t>
      </w:r>
    </w:p>
    <w:p>
      <w:r>
        <w:t>L'appelante se limite à reprendre en substance son argumentation de première instance, opposant ainsi sa manière de voir à celle du premier juge, sans exposer en quoi il aurait erré, de sorte que son appel frise l'irrecevabilité sur ce point.</w:t>
      </w:r>
    </w:p>
    <w:p>
      <w:r>
        <w:t>Par ailleurs, elle ne conteste pas disposer d'une fortune de quelque 30'000 fr. en espèces, alors que le précédent fédéral auquel elle se réfère concernait une personne endettée et dont la seule fortune, chiffrée à 8'700 fr., était constituée de titres (arrêt du Tribunal fédéral 5A_488/2013 du 4 avril 2014 consid. 8.1). Un parallèle avec cette jurisprudence ne saurait être tiré en l'espèce.</w:t>
      </w:r>
    </w:p>
    <w:p>
      <w:r>
        <w:t>Ainsi, la décision de première instance sera confirmée, en ce qu'elle a refusé à l'appelante l'octroi d'une provisio ad litem.</w:t>
      </w:r>
    </w:p>
    <w:p>
      <w:r>
        <w:rPr>
          <w:b/>
        </w:rPr>
        <w:t>E. 7</w:t>
      </w:r>
    </w:p>
    <w:p>
      <w:r>
        <w:t>L'appel sera donc partiellement admis et le chiffre 4 du dispositif du jugement entrepris annulé.</w:t>
      </w:r>
    </w:p>
    <w:p>
      <w:r>
        <w:rPr>
          <w:b/>
        </w:rPr>
        <w:t>E. 8.1</w:t>
      </w:r>
    </w:p>
    <w:p>
      <w:r>
        <w:t>Si l'instance d'appel statue à nouveau, elle se prononce sur les frais de la première instance (art. 318 al. 3 CPC).</w:t>
      </w:r>
    </w:p>
    <w:p>
      <w:r>
        <w:t>Les frais et dépens de première instance n'étant contestés ni sur leur répartition ni sur leur quotité et étant leur fixation et leur répartition étant au demeurant conformes à la loi, ils seront confirmés.</w:t>
      </w:r>
    </w:p>
    <w:p>
      <w:r>
        <w:rPr>
          <w:b/>
        </w:rPr>
        <w:t>E. 8.2</w:t>
      </w:r>
    </w:p>
    <w:p>
      <w:r>
        <w:t>Les frais judiciaires d'appel seront fixés à 2'200 fr., (art. 28, 31 et 37 RTFMC). Dans la mesure où l'appelante obtient partiellement gain de cause, les frais seront mis à charge des parties par moitié chacune (art. 95, 104 al. 1, 105, 106 et 107 al. 1 let. c CPC). Les parties seront dès lors condamnées à verser chacune 1'100 fr. à l'Etat de Genève au titre de frais judiciaires.</w:t>
      </w:r>
    </w:p>
    <w:p>
      <w:r>
        <w:t>Au vu de la nature et de l'issue du litige, chaque partie supportera ses propres dépens d'appel (art. 107 al. 1 let. c CPC).</w:t>
      </w:r>
    </w:p>
    <w:p>
      <w:r>
        <w:t>- 16/17 -</w:t>
      </w:r>
    </w:p>
    <w:p>
      <w:r>
        <w:t>C/11897/2016</w:t>
      </w:r>
    </w:p>
    <w:p>
      <w:r>
        <w:t>PAR CES MOTIFS, La Chambre civile : A la forme : Déclare recevable l'appel interjeté par A______ contre le jugement JTPI/942/2017 rendu le 23 janvier 2017 par le Tribunal de première instance dans la cause C/11897/2016-17. Au fond : Annule le chiffre 4 du jugement entrepris et, cela fait, statuant à nouveau : Condamne B______ à verser à A______, par mois et d'avance, la somme de 5'000 fr. à titre de contribution d'entretien à compter du 1er septembre 2015. Confirme pour le surplus le jugement entrepris. Déboute les parties de toutes autres conclusions. Sur les frais : Arrête les frais judiciaires d'appel à 2'200 fr. Les met à la charge des parties par moitié chacune. Condamne A______ et B______ à verser chacune 1'100 fr. à l'Etat de Genève au titre des frais judiciaires d'appel. Dit que chaque partie supporte ses propres dépens d'appel. Siégeant : Monsieur Laurent RIEBEN, président; Monsieur Patrick CHENAUX, Madame Fabienne GEISINGER-MARIETHOZ, juges; Madame Anne-Lise JAQUIER, greffière. Le président : Laurent RIEBEN</w:t>
      </w:r>
    </w:p>
    <w:p>
      <w:r>
        <w:t>La greffière : Anne-Lise JAQUIER</w:t>
      </w:r>
    </w:p>
    <w:p>
      <w:r>
        <w:t>- 17/17 -</w:t>
      </w:r>
    </w:p>
    <w:p>
      <w:r>
        <w:t>C/11897/2016</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