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ACJC/662/2017 vom 9. Juni 2017</w:t>
      </w:r>
    </w:p>
    <w:p>
      <w:r>
        <w:t>GE Cour de justice, 2017-06-09, FR</w:t>
      </w:r>
    </w:p>
    <w:p>
      <w:r>
        <w:rPr>
          <w:b/>
        </w:rPr>
        <w:t xml:space="preserve">Quelle: </w:t>
      </w:r>
      <w:r>
        <w:t>https://mcp.opencaselaw.ch/entscheid/ge_gerichte_ACJC_662_2017</w:t>
      </w:r>
    </w:p>
    <w:p>
      <w:r>
        <w:t>FR: GE_GERICHTE ACJC/662/2017 du 9 juin 2017</w:t>
      </w:r>
    </w:p>
    <w:p>
      <w:r>
        <w:t>IT: GE_GERICHTE ACJC/662/2017 del 9 giugno 2017</w:t>
      </w:r>
    </w:p>
    <w:p>
      <w:pPr>
        <w:pStyle w:val="Heading2"/>
      </w:pPr>
      <w:r>
        <w:t>Erwägungen</w:t>
      </w:r>
    </w:p>
    <w:p>
      <w:r>
        <w:rPr>
          <w:b/>
        </w:rPr>
        <w:t>E. 1.1</w:t>
      </w:r>
    </w:p>
    <w:p>
      <w:r>
        <w:t>Interjeté dans le délai utile de dix jours (art. 271 let. a, 314 al. 1 et 142 al. 1 CPC) et suivant la forme prescrite par la loi (art. 130, 131, 311 al. 1 CPC) à l'encontre d'une décision rendue sur mesures protectrices de l'union conjugale - laquelle doit être considérée comme une décision provisionnelle au sens de l'art. 308 al. 1 let. b CPC (ATF 137 III 475 consid. 4.1) - et portant sur des questions non patrimoniales (art. 308 al. 2 CPC; arrêt du Tribunal fédéral 5A_22/2017 du 27 février 2017 consid. 1), l'appel est recevable. Il n'en va pas de même de la réponse de l'intimée, qui a été expédiée au greffe de la Cour de manière tardive (art. 314 al. 1 CPC).</w:t>
      </w:r>
    </w:p>
    <w:p>
      <w:r>
        <w:rPr>
          <w:b/>
        </w:rPr>
        <w:t>E. 1.2</w:t>
      </w:r>
    </w:p>
    <w:p>
      <w:r>
        <w:t>S'agissant du sort d'un enfant mineur, les maximes d'office et inquisitoire illimitée s'appliquent (art. 296 al. 3 CPC). Ainsi, le juge n'est pas lié par les conclusions des parties (art. 58 al. 2 CPC) et il établit les faits d'office (art. 55 al. 2 CPC). Toutefois, les parties ne sont pas dispensées de collaborer activement à la procédure et d'étayer leurs propres thèses en renseignant le juge sur les faits de la cause et en lui indiquant les moyens de preuve disponibles (ATF 128 III 411 consid. 3.2.1; arrêt 5A_808/2012 du 29 août 2013 consid. 4.3.2).</w:t>
      </w:r>
    </w:p>
    <w:p>
      <w:r>
        <w:rPr>
          <w:b/>
        </w:rPr>
        <w:t>E. 1.3</w:t>
      </w:r>
    </w:p>
    <w:p>
      <w:r>
        <w:t>Une restriction des conclusions ne constitue pas une modification de la demande au sens de l'art. 317 al. 2 CPC, mais un retrait partiel de cette demande. Pour ce motif, la réduction des conclusions est admissible en tout temps (arrêt du Tribunal fédéral 5A_184/2013 du 26 avril 2013 consid. 3.2). Partant, la réduction des prétentions de l'appelant, qui demande en appel l'instauration d'une garde alternée au lieu de l'attribution du droit de garde en sa</w:t>
      </w:r>
    </w:p>
    <w:p>
      <w:r>
        <w:t>- 5/10 -</w:t>
      </w:r>
    </w:p>
    <w:p>
      <w:r>
        <w:t>C/16498/2016 faveur, est recevable. Au demeurant, compte tenu de la maxime d'office, la Cour n'est pas liée par les conclusions de l'appelant sur ce point.</w:t>
      </w:r>
    </w:p>
    <w:p>
      <w:r>
        <w:rPr>
          <w:b/>
        </w:rPr>
        <w:t>E. 2</w:t>
      </w:r>
    </w:p>
    <w:p>
      <w:r>
        <w:t>Les parties ne contestent pas, à juste titre, la compétence des autorités judiciaires genevoises (art. 46, 79 et 85 al. 1 LDIP; art. 5 de la Convention de La Haye du 19 octobre 1996 concernant la compétence, la loi applicable, la reconnaissance, l'exécution et la coopération en matière de responsabilité parentale et de mesures de protection des enfants, CLaH96) et l'application du droit suisse (art. 48 al. 1, 82 al. 1 LDIP; art. 15ss CLaH96) au présent litige.</w:t>
      </w:r>
    </w:p>
    <w:p>
      <w:r>
        <w:rPr>
          <w:b/>
        </w:rPr>
        <w:t>E. 3</w:t>
      </w:r>
    </w:p>
    <w:p>
      <w:r>
        <w:t>L'appelant reproche au premier juge d'avoir attribué la garde de l'enfant à son épouse et sollicite l'instauration d'une garde alternée.</w:t>
      </w:r>
    </w:p>
    <w:p>
      <w:r>
        <w:rPr>
          <w:b/>
        </w:rPr>
        <w:t>E. 3.1</w:t>
      </w:r>
    </w:p>
    <w:p>
      <w:r>
        <w:t>En vertu de l'art. 176 al. 3 CC relatif à l'organisation de la vie séparée, lorsque les époux ont des enfants mineurs, le juge ordonne les mesures nécessaires d'après les dispositions sur les effets de la filiation (art. 273 ss CC). Cette réglementation porte notamment sur la garde de l'enfant et les relations personnelles. Lorsqu'il statue sur la garde de l'enfant, les relations personnelles ou la participation de chaque parent à la prise en charge de l'enfant, le juge tient compte du droit de l'enfant d'entretenir régulièrement des relations personnelles avec ses deux parents. Lorsque l'autorité parentale est exercée conjointement, le juge examine, selon le bien de l'enfant, la possibilité de la garde alternée, si le père, la mère ou l'enfant la demandent (art. 298 al. 2bis et 2ter CC, entrés en vigueur le 1er janvier 2017). Bien que l'autorité parentale conjointe soit désormais la règle et qu'elle comprenne le droit de déterminer le lieu de résidence de l'enfant (art. 296 al. 2 et 301a al. 1 CC; ATF 142 III 56 consid. 3),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Le bien de l'enfant constitue en effet la règle fondamentale en matière d'attribution des droits parentaux, les intérêts des parents devant être relégués au second plan.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Le juge doit en effet évaluer, sur la base de la situation de fait actuelle ainsi que de celle qui prévalait avant la séparation des parties, si l'instauration d'une garde alternée est effectivement à même de préserver le bien de l'enfant (ATF 142 III 617 consid. 3.2.3 et les références citées).</w:t>
      </w:r>
    </w:p>
    <w:p>
      <w:r>
        <w:t>- 6/10 -</w:t>
      </w:r>
    </w:p>
    <w:p>
      <w:r>
        <w:t>C/16498/2016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w:t>
      </w:r>
    </w:p>
    <w:p>
      <w:r>
        <w:rPr>
          <w:b/>
        </w:rPr>
        <w:t>E. 3.2</w:t>
      </w:r>
    </w:p>
    <w:p>
      <w:r>
        <w:t>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 Cependant, dans le cadre d'une procédure de mesures protectrices de l'union conjugale, caractérisée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w:t>
      </w:r>
    </w:p>
    <w:p>
      <w:r>
        <w:t>- 7/10 -</w:t>
      </w:r>
    </w:p>
    <w:p>
      <w:r>
        <w:t>C/16498/2016 les déclarations d'intervenants scolaires, médicaux ou sociaux; il contient également des appréciations subjectives, lesquelles dénotent souvent une grande expérience de la matière, mais ne sauraient remplacer le pouvoir de décision du juge (ACJC/1359/2009 consid. 2.2).</w:t>
      </w:r>
    </w:p>
    <w:p>
      <w:r>
        <w:rPr>
          <w:b/>
        </w:rPr>
        <w:t>E. 3.3</w:t>
      </w:r>
    </w:p>
    <w:p>
      <w:r>
        <w:t>En l'espèce, il convient d'examiner si le principe d'une garde alternée est la meilleure solution pour l'intérêt et le bien-être de l'enfant au regard des circonstances du cas particulier. Les époux étant tous deux sans emploi, leur disponibilité pour s'occuper de leur fille est équivalente. Par ailleurs, il résulte du rapport du SPMi que malgré le conflit qui les a opposés, la communication entre eux est bonne. En outre, quand bien même le rapport du SPMi ne se prononce pas spécifiquement sur les capacités parentales du père, aucun élément ne permet de les mettre en doute. Cependant, en dépit de ce qui précède et du désir du père de s'impliquer davantage dans l'éducation et la prise en charge de l'enfant, il paraît, en l'état, prématuré d'instaurer une garde alternée. Il ressort en effet du rapport du SPMi que la relation entre la mère et l'enfant, âgée de trois ans, est fusionnelle, ce qui a eu pour effet que le père n'a pas pu prendre sa place et prodiguer des soins à l'enfant. Ainsi, pendant la vie commune, de même que depuis la séparation du couple, la prise en charge de l'enfant a été essentiellement assumée par la mère. Au vu de ces circonstances, du jeune âge de l'enfant et de son besoin de stabilité, il apparaît conforme au bien de celle-ci d'en confier la garde, à ce stade, à sa mère. La décision du Tribunal en ce qui concerne la garde est ainsi conforme à l'intérêt de l'enfant et sera confirmée.</w:t>
      </w:r>
    </w:p>
    <w:p>
      <w:r>
        <w:rPr>
          <w:b/>
        </w:rPr>
        <w:t>E. 4</w:t>
      </w:r>
    </w:p>
    <w:p>
      <w:r>
        <w:t>Reste à examiner si le droit de visite accordé à l'appelant est conforme au bien de l'enfant.</w:t>
      </w:r>
    </w:p>
    <w:p>
      <w:r>
        <w:rPr>
          <w:b/>
        </w:rPr>
        <w:t>E. 4.1</w:t>
      </w:r>
    </w:p>
    <w:p>
      <w:r>
        <w:t>Aux termes de l'art. 273 al. 1 CC, le parent qui ne détient pas l'autorité parentale ou la garde ainsi que l'enfant mineur ont réciproquement le droit d'entretenir les relations personnelles indiquées par les circonstances. Le droit aux relations personnelles est conçu à la fois comme un droit et un devoir des parents (art. 273 al. 2 CC), mais aussi comme un droit de la personnalité de l'enfant; il doit servir en premier lieu l'intérêt de celui-ci (ATF 131 III 209 consid. 5, arrêt du Tribunal fédéral 5A_422/2015 du 10 février 2016 consid. 4.2 non publié aux ATF 142 III 193). Pour apprécier les critères fixant le droit de garde et celui aux relations personnelles, le juge dispose d'un large pouvoir d'appréciation (ATF 132 III 97 consid. 1; arrêts du Tribunal fédéral 5A_825/2013 du 28 mars 2014 consid. 4.3.1 et 5A_319/2013 du 17 octobre 2013 consid. 2.1, publié in FamPra.ch 2014 p. 177).</w:t>
      </w:r>
    </w:p>
    <w:p>
      <w:r>
        <w:t>- 8/10 -</w:t>
      </w:r>
    </w:p>
    <w:p>
      <w:r>
        <w:t>C/16498/2016</w:t>
      </w:r>
    </w:p>
    <w:p>
      <w:r>
        <w:rPr>
          <w:b/>
        </w:rPr>
        <w:t>E. 4.2</w:t>
      </w:r>
    </w:p>
    <w:p>
      <w:r>
        <w:t>En l'espèce, en se fondant sur les recommandations du SPMi, le Tribunal a fixé un droit de visite, élargi de manière progressive, en faveur de l'appelant. Dans la mesure où l'appelant n'a pratiquement pas eu la possibilité de s'occuper de sa fille depuis sa naissance, un tel élargissement progressif est adapté aux besoins de l'enfant et aux circonstances. Depuis le mois d'avril 2017, l'appelant voit ainsi sa fille une journée par semaine de 9h00 à 17h00. Dès le mois de juin 2017, l'enfant passera une journée chez son père, avec la nuit afférente. Puis, dès la rentrée scolaire 2017, le Tribunal a fixé le droit de visite tous les mercredis de 14h00 à 18h00, ainsi qu'un week-end sur deux, du samedi à 9h00 au dimanche 17h00, et la moitié des vacances scolaires, étant cependant relevé qu'elle ne commencera en principe l'école qu'à la rentrée 2018. Le droit de visite ainsi fixé a pour conséquence que l'enfant dormira chez son père une nuit chaque semaine entre les mois de juin et août 2017, alors que dès la rentrée de septembre 2017, elle ne passera la nuit chez son père qu'une semaine sur deux. En prévision du fait que, à partir de la rentrée scolaire 2017, l'enfant passera également la moitié des vacances scolaires chez son père, soit notamment une semaine entière durant les vacances d'automne, il se justifie d'élargir le droit de visite fixé en semaine par le Tribunal. En effet, il est dans l'intérêt de l'enfant qu'elle continue à passer au moins une nuit chaque semaine chez son père également après la rentrée scolaire 2017, afin de garder une certaine stabilité et de préparer progressivement l'élargissement du droit de visite. Par conséquent, le chiffre 7 du dispositif du jugement querellé sera modifié, en ce sens que dès la rentrée scolaire 2017, le droit de visite du père sera fixé du mercredi à 14h00 au jeudi matin à 9h00, un week-end sur deux du samedi à 9h00 au dimanche à 17h00, ainsi que la moitié des vacances scolaires.</w:t>
      </w:r>
    </w:p>
    <w:p>
      <w:r>
        <w:rPr>
          <w:b/>
        </w:rPr>
        <w:t>E. 5.1</w:t>
      </w:r>
    </w:p>
    <w:p>
      <w:r>
        <w:t>Si l'instance d'appel statue à nouveau, elle se prononce sur les frais de la première instance (art. 318 al. 3 CPC). Dès lors que ni la quotité ni la répartition des frais et des dépens de première instance n'ont été remises en cause en appel et que ceux-ci ont été arrêtés conformément aux règles légales (art. 95, 96, 104 al. 1, 107 al. 1 let. c CPC; art. 5 et 31 du Règlement fixant le tarif des greffes en matière civile, RTFMC - RS/GE E 1 05.10), le jugement entrepris sera confirmé sur ce point.</w:t>
      </w:r>
    </w:p>
    <w:p>
      <w:r>
        <w:rPr>
          <w:b/>
        </w:rPr>
        <w:t>E. 5.2</w:t>
      </w:r>
    </w:p>
    <w:p>
      <w:r>
        <w:t>Les frais judiciaires d'appel seront fixés à 800 fr. (art. 31 et 37 RTFMC) et mis à la charge des parties pour moitié chacune, compte tenu de la nature familiale du litige (art. 95 et 107 al. 1 let. c CPC).</w:t>
      </w:r>
    </w:p>
    <w:p>
      <w:r>
        <w:t>- 9/10 -</w:t>
      </w:r>
    </w:p>
    <w:p>
      <w:r>
        <w:t>C/16498/2016 Dans la mesure où les parties plaident toutes deux au bénéfice de l'assistance juridique, les frais judiciaires seront provisoirement supportés par l'Etat. Pour le surplus, les parties conserveront à leur charge leurs propres dépens d'appel (art. 107 al. 1 let. c CPC). * * * * * *</w:t>
      </w:r>
    </w:p>
    <w:p>
      <w:r>
        <w:t>- 10/10 -</w:t>
      </w:r>
    </w:p>
    <w:p>
      <w:r>
        <w:t>C/16498/2016 PAR CES MOTIFS, La Chambre civile : A la forme : Déclare recevable l'appel interjeté par A______ contre les chiffres 6 et 7 du dispositif du jugement JTPI/3679/2017 rendu le 10 mars 2017 par le Tribunal de première instance dans la cause C/16498/2016-10. Au fond : Annule le chiffre 7 du dispositif de ce jugement et cela fait, statuant à nouveau : Réserve à A______ un droit aux relations personnelles qui s'exercera, sauf accord contraire des parties, de la manière suivante : • une journée avec la nuit afférente, de 9h00 à 9h00 le lendemain; • dès la rentrée scolaire 2017, du mercredi à 14h00 au jeudi à 9h00, un week-end sur deux, du samedi à 9h00 au dimanche 17h00, ainsi que la moitié des vacances scolaires. Confirme le jugement entrepris pour le surplus. Sur les frais : Arrête les frais judiciaires d'appel à 800 fr., les met à la charge des parties par moitié chacune, à savoir 400 fr. à la charge de A______ et 400 fr. à la charge de B______. Dit que ces frais sont provisoirement supportés par l'Etat de Genève. Dit que chaque partie supporte ses propres dépens d'appel. Siégeant : Madame Florence KRAUSKOPF, présidente; Monsieur Ivo BUETTI, Madame Ursula ZEHETBAUER GHAVAMI, juges; Madame Camille LESTEVEN, greffière. La présidente : Florence KRAUSKOPF</w:t>
      </w:r>
    </w:p>
    <w:p>
      <w:r>
        <w:t>La greffière : Camille LESTEVEN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limités en application de l'art.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