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ACJC/660/2015 vom 10. Juni 2015</w:t>
      </w:r>
    </w:p>
    <w:p>
      <w:r>
        <w:t>GE Cour de justice, 2015-06-10, FR</w:t>
      </w:r>
    </w:p>
    <w:p>
      <w:r>
        <w:rPr>
          <w:b/>
        </w:rPr>
        <w:t xml:space="preserve">Quelle: </w:t>
      </w:r>
      <w:r>
        <w:t>https://mcp.opencaselaw.ch/entscheid/ge_gerichte_ACJC_660_2015</w:t>
      </w:r>
    </w:p>
    <w:p>
      <w:r>
        <w:t>FR: GE_GERICHTE ACJC/660/2015 du 10 juin 2015</w:t>
      </w:r>
    </w:p>
    <w:p>
      <w:r>
        <w:t>IT: GE_GERICHTE ACJC/660/2015 del 10 giugno 2015</w:t>
      </w:r>
    </w:p>
    <w:p>
      <w:pPr>
        <w:pStyle w:val="Heading2"/>
      </w:pPr>
      <w:r>
        <w:t>Erwägungen</w:t>
      </w:r>
    </w:p>
    <w:p>
      <w:r>
        <w:rPr>
          <w:b/>
        </w:rPr>
        <w:t>E. 1</w:t>
      </w:r>
    </w:p>
    <w:p>
      <w:r>
        <w:t>L'appelante relève, préalablement, avoir modifié sa raison sociale, de sorte qu'il conviendrait de rectifier sa qualité de partie.</w:t>
      </w:r>
    </w:p>
    <w:p>
      <w:r>
        <w:rPr>
          <w:b/>
        </w:rPr>
        <w:t>E. 1.1</w:t>
      </w:r>
    </w:p>
    <w:p>
      <w:r>
        <w:t>Le juge examine d'office si les conditions de recevabilité sont remplies (art. 60 CPC). Selon l'art. 221 al. 1 let. a CPC, la demande doit contenir la désignation des parties, soit les noms et adresse des parties (TAPPY, Code de procédure civile commenté, BOHNET/HALDY/JEANDIN/SCHWEIZER/TAPPY [éd.], 2011, n°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Faute de jouir de la personnalité juridique, la succursale est dépourvue de la capacité d'être partie en justice (ATF 120 III 11 consid. 1a). Toutefois, il y a lieu d'admettre que lorsque, dans le cadre d'une demande en justice, une succursale se voit attribuer la qualité de demanderesse ou défenderesse, alors qu'en réalité seule la société à laquelle elle appartient est visée, on se trouve en présence d'une sim- ple désignation inexacte d'une partie (ATF 120 III 11 consid. 1b). Cette irrégula- rité peut être rectifiée s'il n'y a pas d'équivoque sur la partie réellement concernée</w:t>
      </w:r>
    </w:p>
    <w:p>
      <w:r>
        <w:t>- 13/27 -</w:t>
      </w:r>
    </w:p>
    <w:p>
      <w:r>
        <w:t>C/20231/2011 et que l'acte peut parvenir à son véritable destinataire (arrêt du Tribunal fédéral 4C.270/2003 du 28 novembre 2003 consid. 1.1).</w:t>
      </w:r>
    </w:p>
    <w:p>
      <w:r>
        <w:rPr>
          <w:b/>
        </w:rPr>
        <w:t>E. 1.2</w:t>
      </w:r>
    </w:p>
    <w:p>
      <w:r>
        <w:t>En l'espèce, la demande a été introduite par l'intimée à l'encontre de A______, ayant son siège à Londres, et non de sa succursale de Genève, et toutes ses écritures désignent l'établissement principal comme partie adverse. Cette dernière se désigne sous la dénomination tantôt de l'établissement principal à Londres (plaidoiries finales écrites de première instance et réplique en appel), tantôt de la succursale de Genève (réponse à la demande et appel). Il n'a jamais été contesté que l'action était dirigée contre l'établissement principal à Londres et non contre sa succursale de Genève. C'est donc par erreur que la page de garde du jugement entrepris et certaines écritures désignent la succursale de l'établissement bancaire comme partie.</w:t>
      </w:r>
    </w:p>
    <w:p>
      <w:r>
        <w:t>Il y a donc lieu de rectifier d'office la qualité de D______ en A______, soit pour elle B______.</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w:t>
      </w:r>
    </w:p>
    <w:p>
      <w:r>
        <w:rPr>
          <w:b/>
        </w:rPr>
        <w:t>E. 2.2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t>- 14/27 -</w:t>
      </w:r>
    </w:p>
    <w:p>
      <w:r>
        <w:t>C/20231/2011</w:t>
      </w:r>
    </w:p>
    <w:p>
      <w:r>
        <w:rPr>
          <w:b/>
        </w:rPr>
        <w:t>E. 3</w:t>
      </w:r>
    </w:p>
    <w:p>
      <w:r>
        <w:t>L'appelante a produit une pièce nouvelle en appel, soit le procès-verbal de l'audition de G______ - ancien directeur de M______ - du 14 novembre 2003 dans la procédure pénale P/______.</w:t>
      </w:r>
    </w:p>
    <w:p>
      <w:r>
        <w:t>L'appelante explique avoir eu l'occasion, après la réception du jugement entrepris, de consulter la procédure pénale - à laquelle elle n'était plus partie lors des débats - et avoir constaté que cet élément n'avait pas été versé à la procédure par l'intimée, qui avait la charge d'apporter la procédure pénale. Elle soutient que cette pièce est importante, dans la mesure où elle "rapporte la preuve - déjà rapportée à la procédure par d'autres moyens - que la modification des documents a été demandée par M______ qui souhaitait voir limiter sa responsabilité". L'intimée soutient que cette pièce est irrecevable, dans la mesure où l'appelante s'était constituée partie civile dans la procédure pénale le 23 juin 2003, avait régulièrement été convoquée aux audiences et pouvait lever copies des procès- verbaux, ce jusqu'à ce que le juge d'instruction décide de l'exclure du cercle des parties civiles le 16 août 2007. Elle avait, pour sa part, apporté toutes les pièces de la procédure pénale demandées par l'appelante en première instance. Par ailleurs, cette dernière avait sollicité l'audition par le premier juge de G______, puis y avait renoncé pour autant que R______ soit entendu, ce qui avait été fait.</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5A_509/2014 du 2 septembre 2014 consid. 3.1).</w:t>
      </w:r>
    </w:p>
    <w:p>
      <w:r>
        <w:rPr>
          <w:b/>
        </w:rPr>
        <w:t>E. 3.2</w:t>
      </w:r>
    </w:p>
    <w:p>
      <w:r>
        <w:t>En l'espèce, la question de la recevabilité de la pièce nouvelle produite par l'appelante peut rester indécise, dans la mesure où elle ne fait qu'appuyer un élément de fait que la Cour considère comme établi, à savoir que la modification des formules d'instructions d'investissement de J______SA pour la souscription de parts dans le fonds 3______ a été demandée par M______ et non par l'appelante (cf. ci-dessus EN FAIT let. C.m).</w:t>
      </w:r>
    </w:p>
    <w:p>
      <w:r>
        <w:t>- 15/27 -</w:t>
      </w:r>
    </w:p>
    <w:p>
      <w:r>
        <w:t>C/20231/2011</w:t>
      </w:r>
    </w:p>
    <w:p>
      <w:r>
        <w:rPr>
          <w:b/>
        </w:rPr>
        <w:t>E. 4</w:t>
      </w:r>
    </w:p>
    <w:p>
      <w:r>
        <w:t>Les parties étant domiciliées à l'étranger, la cause revêt un caractère international.</w:t>
      </w:r>
    </w:p>
    <w:p>
      <w:r>
        <w:t>Les parties ne contestent pas la compétence des tribunaux genevois et l'application du droit suisse au présent litige, que celui-ci soit de nature contractuelle, précontractuelle ou délictuelle.</w:t>
      </w:r>
    </w:p>
    <w:p>
      <w:r>
        <w:rPr>
          <w:b/>
        </w:rPr>
        <w:t>E. 5</w:t>
      </w:r>
    </w:p>
    <w:p>
      <w:r>
        <w:t>Il convient préalablement de qualifier les rapports juridiques ayant lié les parties dès l'ouverture de la relation bancaire intervenue le 18 avril 2001.</w:t>
      </w:r>
    </w:p>
    <w:p>
      <w:r>
        <w:rPr>
          <w:b/>
        </w:rPr>
        <w:t>E. 5.1</w:t>
      </w:r>
    </w:p>
    <w:p>
      <w:r>
        <w:t>Le client d'une banque qui souhaite procéder à des placements dispose en principe de trois constructions juridiques : le simple dépôt bancaire avec ordre donné par le client, le conseil en placement ou le mandat de gestion (ATF 133 III 97 consid. 7.1, in SJ 2007 I 252; arrêt du Tribunal fédéral 4C.72/1999 du 26 mai 1999 consid. 2a).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in SJ 2009 I 13). Dans un contrat de conseil en placement, en revanche, le client décide toujours lui-même des opérations à effectuer après avoir obtenu des renseignements et con- seils de la banque (arrêts du Tribunal fédéral 4A_525/2011 du 3 février 2012 consid. 3.1, in PJA 2012 1317; 4A_168/2008 précité consid. 2.1), cette dernière ne pouvant en entreprendre que sur instructions ou avec l'accord de son client (arrêt du Tribunal fédéral 4A_262/2008 du 23 septembre 2008 consid. 2.1). Le rapport de conseil peut être général et concerner de façon régulière tout ou par- tie des actifs du client. La banque s'engage alors, en principe contre rémunération, à suivre les investissements effectués personnellement par son client, en observant l'évolution des avoirs que celui-ci détient auprès d'elle ou d'un tiers, et à le con- seiller régulièrement, en lui proposant des investissements ou des changements dans l'affectation des capitaux, obligations se rapprochant de celles existant dans le contrat de gestion de fortune (arrêt du Tribunal fédéral 4A_168/2008 précité consid. 2.2; LOMBARDINI, Droit bancaire suisse, 2ème éd. 2008, p. 791 n. 11; ROTH, Aufklärungspflichten im Vermögensanlagegeschäft der Banken, in Banken und Bankrecht im Wandel, Festschrift für Beat KLEINER, 1993, p. 6 s., 11 et 38; BIZZOZERO, Le contrat de gérance de fortune, 1992, p. 17). Le rapport de conseil peut également être ponctuel. Dans ce cas, un nouveau contrat est conclu - le plus souvent par actes concluants - pour chaque conseil prodigué par la banque, quand bien même cette dernière ne perçoit aucune rémunération en contrepartie (LOMBARDINI, op. cit., p. 791 n. 10, 12; GUGGENHEIM, Les contrats de la pratique bancaire suisse, 2014, p. 255 ss; THEVENOZ, Information, conseil, mise en garde : risques et responsabilité dans les</w:t>
      </w:r>
    </w:p>
    <w:p>
      <w:r>
        <w:t>- 16/27 -</w:t>
      </w:r>
    </w:p>
    <w:p>
      <w:r>
        <w:t>C/20231/2011 opérations sur valeurs mobilières, in Journée 2007 de droit bancaire et financier, p. 27 et p. 42). Les effets du contrat sont instantanés; ainsi, la banque n'est pas tenue d'examiner si le client va suivre ce conseil, s'il reste valable avec l'écoulement du temps ou si, la situation s'étant modifiée, le client doit entreprendre d'autres transactions (LOMBARDINI, Responsabilité de la banque dans le domaine de la gestion de fortune : état de la jurisprudence et questions ouvertes, in SJ 2008 II 430; THALMANN, Die Sorgfaltspflicht der Bank im Privatrecht, inbesondere im Anlagegeschäft, in RDS 1994 II 117, p. 187); en effet, la personne qui souhaite bénéficier de ce type de prestations doit confier à la banque un mandat de gestion ou un mandat de conseil durable (LOMBARDINI, Droit bancaire suisse, 2008, p. 791 n. 12). Enfin, 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fortune : état de la jurisprudence et questions ouvertes, in SJ 2008 II 418). Tant le contrat de gestion de fortune que celui de conseil en placement relèvent du mandat au sens des art. 394 ss CO (arrêts du Tribunal fédéral 4A_274/2011 du 3 novembre 2011 consid. 6.3; ATF 132 III 460 consid. 4.1). La relation execution only comporte également des éléments de mandat, en particulier s'agissant du devoir de diligence et de fidélité de la banque (arrêt du Tribunal fédéral 4C.410/1997 du 23 juin 1998 consid. 3 a, in SJ 1999 I 205).</w:t>
      </w:r>
    </w:p>
    <w:p>
      <w:r>
        <w:rPr>
          <w:b/>
        </w:rPr>
        <w:t>E. 5.2</w:t>
      </w:r>
    </w:p>
    <w:p>
      <w:r>
        <w:t>En l'espèce, les parties ne remettent, à juste titre, pas en cause avoir été liées par une relation bancaire de type execution only, dans le cadre de laquelle la banque se chargeait uniquement d'exécuter les ordres de son client.</w:t>
      </w:r>
    </w:p>
    <w:p>
      <w:r>
        <w:t>Plus précisément, cette relation relevait du contrat de dépôt bancaire - contrat mixte contenant des éléments de contrat de compte courant, de giro bancaire et de dépôt ouvert, auquel sont applicables les règles du mandat -, ainsi que des contrats de commission conclus pour l'exécution des ordres et du contrat de nantissement relatif au crédit lombard (ATF 133 III 37 consid. 3.1; arrêts du Tribunal fédéral 4C.108/2002 du 23 juillet 2002 consid. 2.a et 4C.387/2000 du 15 mars 2001 consid. 2a).</w:t>
      </w:r>
    </w:p>
    <w:p>
      <w:r>
        <w:rPr>
          <w:b/>
        </w:rPr>
        <w:t>E. 6</w:t>
      </w:r>
    </w:p>
    <w:p>
      <w:r>
        <w:t>L'intimée reproche à l'appelante de ne pas lui avoir fourni des renseignements exhaustifs au sujet de J______SA et de ses animateurs et de lui avoir laissé croire que cette société, ainsi que les produits qu'elle proposait étaient, dignes de confiance, alors que la banque était au courant de nombreux problèmes. Si l'appelante les lui avaient communiqués, elle l'aurait dissuadée de confier son argent à J______SA et d'investir dans le fonds 3______.</w:t>
      </w:r>
    </w:p>
    <w:p>
      <w:r>
        <w:t>- 17/27 -</w:t>
      </w:r>
    </w:p>
    <w:p>
      <w:r>
        <w:t>C/20231/2011 L'intimée fonde la responsabilité de l'appelante sur son comportement tant avant la conclusion du contrat de dépôt le 18 avril 2001 (responsabilité fondée sur la confiance) qu'à la suite de celle-ci (responsabilité contractuelle). Selon l'intimée, les omissions de l'appelante, durant la période précontractuelle, l'ont notamment conduite à conclure un mandat de gestion discrétionnaire avec J______SA. Conformément au principe de l'absorption, selon lequel l'état de fait précontractuel est intégré dans la relation contractuelle subséquente, la totalité de la relation entre les parties (de la lettre de recommandation à la perte totale de l'investissement) doit être analysée sous l'angle de la responsabilité contractuelle. L'appelante fait grief au premier juge d'avoir retenu une violation de son devoir d'information envers l'intimée. Elle soutient qu'aucune obligation de mise en garde ne lui incombait et qu'en tout état, elle ne disposait pas d'informations négatives sur le fonds litigieux et/ou sur le gérant externe, qu'elle aurait dû notifier à l'intimée.</w:t>
      </w:r>
    </w:p>
    <w:p>
      <w:r>
        <w:rPr>
          <w:b/>
        </w:rPr>
        <w:t>E. 7</w:t>
      </w:r>
    </w:p>
    <w:p>
      <w:r>
        <w:t>En première instance, l'intimée a fait valoir la violation par l'appelante de l'obligation d'information découlant de l'art. 11 LBVM.</w:t>
      </w:r>
    </w:p>
    <w:p>
      <w:r>
        <w:rPr>
          <w:b/>
        </w:rPr>
        <w:t>E. 7.1</w:t>
      </w:r>
    </w:p>
    <w:p>
      <w:r>
        <w:t>Selon l'art. 11 LBVM, le négociant a notamment envers ses clients un devoir d'information; il les informe en particulier sur les risques liés à un type de transaction donné (al. 1 let. a). Dans l’accomplissement de ces devoirs, il sera tenu compte de l’expérience des clients et de l’état de leurs connaissances dans les domaines concernés (al. 2).</w:t>
      </w:r>
    </w:p>
    <w:p>
      <w:r>
        <w:t>Cette disposition institue des règles de conduite tant de droit public que de droit privé (arrêt du Tribunal fédéral 4C.205/2007 du 21 février 2007 consid. 3.3). L'art. 11 LBVM oblige donc notamment la banque à informer le client sur les risques liés aux opérations sur valeurs mobilières, obligation que le client peut faire valoir, le cas échéant, à l'appui d'une demande de dommages-intérêts formée contre le négociant, qui a méconnu ce devoir.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d'information. Le négociant n'a pas à vérifier si une opération déterminée est adaptée aux besoins et à la situation patrimoniale particulière du client (ATF 133 III 97 consid. 5; arrêt du Tribunal fédéral 4A_271/2011 du 16 août 2011 consid. 3). L'information doit porter sur la structure de risque propre à certains types de transactions, et non sur les risques spécifiques à une transaction concrète portant sur une valeur mobilière. Cette disposition ne fonde aucune obligation de la banque de renseigner sur un produit particulier et d'analyser chaque transaction individuelle et les risques liés à une transaction spécifique (ATF 133 III 97 consid. 5; arrêts du Tribunal fédéral</w:t>
      </w:r>
    </w:p>
    <w:p>
      <w:r>
        <w:t>- 18/27 -</w:t>
      </w:r>
    </w:p>
    <w:p>
      <w:r>
        <w:t>C/20231/2011 4A_498/2013 du 19 mars 2014 consid. 4; 4C.205/2007 du 21 février 2007 consid. 3.3 et les réf. citées).</w:t>
      </w:r>
    </w:p>
    <w:p>
      <w:r>
        <w:t>La banque donne suite à cette obligation généralement par la remise au client ou à son représentant de la brochure de l'ASB sur les risques. Cette obligation se concrétise d'une façon particulière envers les clients gérés par un gérant professionnel indépendant. Dans ce cas, les règles de l'ASB relèvent la banque de ce devoir tout en obligeant l'établissement à attirer l'attention du gérant sur le devoir d'information de ce dernier à l'égard du client et à documenter ce fait (art. 3 al. 5 let. b des règles de conduite pour négociants en valeurs mobilières applicables à l'exécution d'opérations sur titres; BIZZOZERO/MAILLARD, Gérants indépendants - Gestion des risques par la banque dépositaire, 2013, p. 25).</w:t>
      </w:r>
    </w:p>
    <w:p>
      <w:r>
        <w:rPr>
          <w:b/>
        </w:rPr>
        <w:t>E. 7.2</w:t>
      </w:r>
    </w:p>
    <w:p>
      <w:r>
        <w:t>En l'espèce, il ressort de ce qui précède que l'obligation d'information découlant de l'art. 11 LBVM incombait à la société de gestion externe plutôt qu'à l'appelante, celle-ci n'intervenant qu'en qualité de banque dépositaire des fonds de l'intimée.</w:t>
      </w:r>
    </w:p>
    <w:p>
      <w:r>
        <w:t>La question de savoir si la banque a, dans les faits, dûment attiré l'attention du gérant externe sur le fait qu'il devait informer le client des risques encourus n'a pas été discutée par les parties.</w:t>
      </w:r>
    </w:p>
    <w:p>
      <w:r>
        <w:t>Quand bien même l'obligation d'information résultant de l'art. 11 LBVM serait demeurée à la charge de l'établissement bancaire, il ressort des déclarations de I______, lesquelles ont été corroborées par K______, que H______ a été, lors de la rencontre à Londres en mars 2001, dûment informé par le représentant de la banque qu'il risquait de perdre l'intégralité de ses fonds en investissant dans le type de produits financiers proposé par J______SA.</w:t>
      </w:r>
    </w:p>
    <w:p>
      <w:r>
        <w:t>L'appelante a ainsi satisfait à son devoir d'information des risques encourus découlant de l'art. 11 LBVM, à supposer que ce devoir soit demeuré à sa charge dans le contexte litigieux.</w:t>
      </w:r>
    </w:p>
    <w:p>
      <w:r>
        <w:rPr>
          <w:b/>
        </w:rPr>
        <w:t>E. 8</w:t>
      </w:r>
    </w:p>
    <w:p>
      <w:r>
        <w:t>L'intimée soutient, en appel, que l'appelante a violé les obligations découlant de l'ancien art. 9 al. 2 OB.</w:t>
      </w:r>
    </w:p>
    <w:p>
      <w:r>
        <w:rPr>
          <w:b/>
        </w:rPr>
        <w:t>E. 8.1</w:t>
      </w:r>
    </w:p>
    <w:p>
      <w:r>
        <w:t>Selon cette disposition (dans sa teneur en vigueur du 1er janvier 1997 au 31 décembre 2014; correspondant au nouvel art. 12 al. 2 OB en vigueur depuis le 1er janvier 2015 intitulé "Séparation des fonctions et gestion des risques (art. 3 al 2 let. a LB)"), la banque fixe, dans un règlement ou dans des directives internes, les principes de gestion des risques, ainsi que les compétences et la procédure en matière d’octroi de l’autorisation d’effectuer des opérations à risque. Elle doit notamment déterminer, limiter et contrôler les risques de crédit, les risques de pertes, les risques liés au marché, à l’exécution des transactions et au</w:t>
      </w:r>
    </w:p>
    <w:p>
      <w:r>
        <w:t>- 19/27 -</w:t>
      </w:r>
    </w:p>
    <w:p>
      <w:r>
        <w:t>C/20231/2011 manque de liquidité, les risques opérationnels et juridiques, ainsi que les risques susceptibles de ternir sa réputation.</w:t>
      </w:r>
    </w:p>
    <w:p>
      <w:r>
        <w:t>Comme le confirme l'intitulé du nouvel art. 12 al. 2 OB, l'ancien art. 9 al. 2 OB est une concrétisation de l'art. 3 al. 2 let. a LB, selon lequel l’autorisation d'exercer est accordée à la banque notamment lorsque les statuts, les contrats de société et les règlements de la banque en définissent exactement le champ d’activité et prévoient l’organisation correspondant à cette activité;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w:t>
      </w:r>
    </w:p>
    <w:p>
      <w:r>
        <w:t>La banque a également un devoir de garantie d'une activité irréprochable selon l'art. 3 al. 2 let. c LB, qui ne présente toutefois pas les caractéristiques d'une norme de comportement (arrêt du Tribunal fédéral 4A_54/2008 du 29 avril 2008 consid. 5.3.4 in fine).</w:t>
      </w:r>
    </w:p>
    <w:p>
      <w:r>
        <w:rPr>
          <w:b/>
        </w:rPr>
        <w:t>E. 8.2</w:t>
      </w:r>
    </w:p>
    <w:p>
      <w:r>
        <w:t>En l'espèce, tant la question de savoir si l'art. 9 al. 2 OB - qui représente une norme réglementaire d'organisation interne visant la mise en place par un établissement bancaire de mesures de contrôle des risques - peut être invoqué par l'intimée pour fonder une responsabilité civile, que celle de savoir si l'appelante a satisfait aux exigences de cette disposition peuvent rester indécises.</w:t>
      </w:r>
    </w:p>
    <w:p>
      <w:r>
        <w:t>En effet, la mise en œuvre de la responsabilité de l'appelante, invoquée par l'intimée, ne résulte pas d'un éventuel défaut d'identification de risques (carence dans les mesures de contrôle interne des risques), mais de la supposée omission de transmettre des informations dont disposait l'appelante et qui auraient dissuadé l'intimée de confier la gestion de biens à J______SA et de procéder à l'investissement litigieux.</w:t>
      </w:r>
    </w:p>
    <w:p>
      <w:r>
        <w:rPr>
          <w:b/>
        </w:rPr>
        <w:t>E. 9</w:t>
      </w:r>
    </w:p>
    <w:p>
      <w:r>
        <w:t>L'intimée fonde, enfin, ses prétentions sur la violation des obligations contractuelles de l'appelante en sa qualité de mandataire dans une relation bancaire.</w:t>
      </w:r>
    </w:p>
    <w:p>
      <w:r>
        <w:rPr>
          <w:b/>
        </w:rPr>
        <w:t>E. 9.1</w:t>
      </w:r>
    </w:p>
    <w:p>
      <w:r>
        <w:t>Le Tribunal fédéral reconnaît à la responsabilité fondée sur la confiance le statut d'un chef de responsabilité en soi. Elle repose, comme la culpa in contrahendo, sur les devoirs réciproques de loyauté des partenaires à une négociation contractuelle (ATF 133 III 449 consid. 4.1, in SJ 2008 I 224). Lorsque la fourniture d'un renseignement ne résulte pas d'une relation contractuelle, l'existence d'une telle obligation est appréhendée par la doctrine et la jurisprudence sous l'angle de la responsabilité pour la confiance créée et déçue (ATF 124 III 363, in SJ 1999 38; THEVENOZ, La responsabilité fondée sur la</w:t>
      </w:r>
    </w:p>
    <w:p>
      <w:r>
        <w:t>- 20/27 -</w:t>
      </w:r>
    </w:p>
    <w:p>
      <w:r>
        <w:t>C/20231/2011 confiance dans les services bancaires et financiers, in Journée de la responsabilité civile, 2000, p. 46-48).</w:t>
      </w:r>
    </w:p>
    <w:p>
      <w:r>
        <w:t>La responsabilité pour la confiance éveillée puis déçue est soumise à des conditions strictes, afin de ne pas vider de son sens la notion de responsabilité contractuelle. La première condition est l'existence d'une relation juridique particulière entre le lésé et le responsable, nécessaire à faire naître les obligations de protection et d'information qui résultent des règles de la bonne foi. Une telle relation particulière repose sur le comportement conscient et normativement imputable de la personne recherchée. La rencontre involontaire et due au hasard ne crée pas de relation particulière; un contact immédiat entre la personne concernée et l'auteur du dommage n'est en revanche pas indispensable : il suffit que la personne recherchée ait fait savoir de manière explicite ou normativement imputable qu'elle assumait l'exactitude de certaines affirmations et que l'autre partie, sur la foi de celles-ci, ait pris des dispositions qui lui ont causé un dommage. Il faut ensuite que l'auteur ait suscité une confiance légitime et digne de protection du lésé dans l'existence de certains faits ou dans certains comportements, sur la foi de quoi le lésé ait pris certaines dispositions qui s'avéreront préjudiciables. Il faut encore que la confiance suscitée et déçue relève d'un comportement contraire aux règles de la bonne foi (ATF 134 III 390, in JT 2010 I 143; arrêts du Tribunal fédéral 4A_306/2009 du 8 février 2010; 4C.230/2003 du 23 décembre 2003, in SJ 2004 461; THEVENOZ, Commentaire romand, Code des obligations, Tome I, 2012, n. 22e et ss ad intro art. 97-109 CO).</w:t>
      </w:r>
    </w:p>
    <w:p>
      <w:r>
        <w:t>Selon le principe de l'absorption, la responsabilité fondée sur la confiance est subsidiaire à la responsabilité contractuelle (ATF 131 III 377 consid. 2.2, in SJ 2005 I 409). Ainsi, lorsque la violation d'un devoir d'information a lieu avant la conclusion d'un contrat, mais que finalement un contrat a été conclu, la responsabilité contractuelle absorbe la responsabilité précontractuelle (arrêt du Tribunal fédéral 4C.205/2007 du 21 février 2007 consid. 3.2).</w:t>
      </w:r>
    </w:p>
    <w:p>
      <w:r>
        <w:rPr>
          <w:b/>
        </w:rPr>
        <w:t>E. 9.2</w:t>
      </w:r>
    </w:p>
    <w:p>
      <w:r>
        <w:t>Selon l'art. 398 al.1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ATF 124 III 155 consid. 2b). Le mandataire est ainsi tenu d'agir comme le ferait une personne raisonnable et diligente dans des circonstances semblables (WERRO, Commentaire romand, Code des obligations, Tome I, 2012, n° 14, ad art. 398 CO). Dans le cadre d'une relation de type execution only, la banque n'est pas tenue à une sauvegarde générale des intérêts de son client. Elle ne doit en principe fournir des renseignements que si son client le lui demande. L'étendue du devoir d'information se détermine d'après les connaissances et l'expérience du client, qui</w:t>
      </w:r>
    </w:p>
    <w:p>
      <w:r>
        <w:t>- 21/27 -</w:t>
      </w:r>
    </w:p>
    <w:p>
      <w:r>
        <w:t>C/20231/2011 n'a pas besoin d'être informé s'il connaît déjà les risques liés aux placements qu'il opère; s'il apparaît qu'il n'a pas connaissance des risques auxquels il s'expose, la banque doit l'y rendre attentif. L'étendue de ce devoir s'apprécie plus sévèrement lorsque le client spécule non seulement avec ses propres avoirs mais aussi avec des crédits ouverts par la banque (ATF 133 III 97 consid. 7.1.1; 119 II 333 consid. 5a). Un devoir d'information n'existe que dans des situations exceptionnelles, soit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(ATF 133 III 97 consid. 7.1.2; 131 III 377 consid. 4.1.1; arrêt du Tribunal fédéral 4A_271/2011 du 16 août 2011 consid. 3).</w:t>
      </w:r>
    </w:p>
    <w:p>
      <w:r>
        <w:rPr>
          <w:b/>
        </w:rPr>
        <w:t>E. 9.3</w:t>
      </w:r>
    </w:p>
    <w:p>
      <w:r>
        <w:t>Conformément aux règles générales de la responsabilité contractuelle et à l'art. 8 CC, il incombe à la partie qui invoque la mauvaise exécution du contrat par le cocontractant d'en apporter la preuve (cf. notamment arrêt du Tribunal fédéral 4A_168/2008 du 11 juin 2008 consid. 2.7 et les réf. citées). Il conviendra d'examiner si l'intimée a apporté la preuve de la violation par la banque d'une obligation d'information lui incombant.</w:t>
      </w:r>
    </w:p>
    <w:p>
      <w:r>
        <w:rPr>
          <w:b/>
        </w:rPr>
        <w:t>E. 9.4</w:t>
      </w:r>
    </w:p>
    <w:p>
      <w:r>
        <w:t>En l'espèce, les parties étaient liées par une relation bancaire de type execution only, qui n'emporte en principe pas de devoir d'information spontané de la banque. Il se trouve, toutefois, que la banque a rédigé, en date du 13 février 2001, à la demande de la cliente, un document attestant de ses relations avec J______SA et les administrateurs de cette dernière et qu'un représentant de la banque s'est rendu à Londres, au mois de mars suivant, pour rencontrer H______ aux côtés de E______ et F______. Ces circonstances particulières (lettre du 13 février 2001, puis présence de I______ à Londres) ont été de nature à susciter un rapport de confiance accrue avec la banque, rapport qui est opposable à celle-ci. Cependant, la violation par l'appelante d'un éventuel devoir d'information - dont fait partie le devoir de mise en garde retenu par le premier juge - suppose in casu, que la banque ait disposé d'éléments qu'elle aurait dû communiquer à l'intimée. Il convient dès lors d'examiner cette question.</w:t>
      </w:r>
    </w:p>
    <w:p>
      <w:r>
        <w:t>Il est reproché à l'appelante de ne pas avoir fait part à l'intimée d'informations défavorables dont elle avait eu connaissance en lien avec les mauvaises performances du fonds 1______, la dissolution prématurée du fonds 2______, son incompréhension et son refus d'être la banque dépositaire du fonds 3______, les modifications des formules d'instructions d'investissement de J______SA pour la souscription de parts dans le fonds 3______, une présumée réputation douteuse de</w:t>
      </w:r>
    </w:p>
    <w:p>
      <w:r>
        <w:t>- 22/27 -</w:t>
      </w:r>
    </w:p>
    <w:p>
      <w:r>
        <w:t>C/20231/2011 E______ et les difficultés qu'elle avait rencontrées dans le cadre de sa collaboration avec J______SA.</w:t>
      </w:r>
    </w:p>
    <w:p>
      <w:r>
        <w:t>La Cour constate qu'il s'agit d'informations dont l'appelante disposait avant l'établissement de la lettre de recommandation du 13 février 2001, à l'exception de celles relatives à l'article de presse du 21 septembre 2001 et aux modifications des formules d'instructions d'investissement précitées.</w:t>
      </w:r>
    </w:p>
    <w:p>
      <w:r>
        <w:t>S'agissant desdites formules - lesquelles constituaient des documents internes à la relation entre J______SA et ses clients -, il est établi que leurs modifications ont été sollicitées par la banque dépositaire du fonds et non par l'appelante. Rien ne permet de retenir que cette dernière en aurait été informée à l'époque des faits litigieux. Quand bien même cela aurait été porté à sa connaissance, seule la modification intervenue en août 2001 - soit après la signature de la formule par l'intimée - serait pertinente. Or, on ne saurait reprocher à la banque de ne pas avoir attiré l'attention du client sur le fait que la version ultérieure de la formule d'instruction signée par l'intimée contenait des renseignements complémentaires que le client était en tout état censé avoir reçus du gérant externe. Il n'appartenait pas à l'appelante de fournir à sa cliente des renseignements précis sur le fonctionnement du fonds 3______, d'autant plus que ces renseignements ressortaient du descriptif du fonds et étaient censés être connus de H______. Avant de poursuivre cet examen, il convient de se replacer dans le contexte prévalant au moment des faits litigieux. Durant les années 1997 à 1999, J______SA était en relation avec de nombreuses banques de premier ordre.</w:t>
      </w:r>
    </w:p>
    <w:p>
      <w:r>
        <w:t>Il ressort tant des déclarations de S______, I______ et K______ que de celles de E______ que la collaboration entre J______SA et l'appelante était très bonne, à tout le moins jusqu'à la fin de l'année 2001, et que les seules difficultés rencontrées avec ladite société de gestion concernaient l'existence, à un certain moment, de débits sur quelques comptes, lesquels avaient été, à la demande de la banque, dûment couverts.</w:t>
      </w:r>
    </w:p>
    <w:p>
      <w:r>
        <w:t>S'agissant en particulier du fonds de droit étranger 1______, il est établi que ce fonds n'avait pas été performant et que les détenteurs de ses parts avaient enregistré des pertes très importantes. Néanmoins, ce fonds n'a pas été liquidé sur décision de la Commission fédérale des banques, comme l'a retenu à tort le premier juge. Sa clôture s'était avérée nécessaire en raison de sa faible performance et du fait que ladite commission avait demandé sa transformation en un fonds de droit suisse - soit une contrainte réglementaire -, ce que ne souhaitait pas faire J______SA. Toutefois, tant cette question que la question discutée par les parties de savoir dans quelle mesure l'appelante avait connaissance de l'ampleur des pertes subies par ses clients ne sont pas déterminantes. En effet, il est notoire, dans le monde de la finance, que certains fonds de placement sont performants et permettent de faire fructifier les montants investis, alors que</w:t>
      </w:r>
    </w:p>
    <w:p>
      <w:r>
        <w:t>- 23/27 -</w:t>
      </w:r>
    </w:p>
    <w:p>
      <w:r>
        <w:t>C/20231/2011 d'autres ne le sont pas et engendrent des pertes plus ou moins importantes pour les investisseurs. Le fait qu'un fonds de placement ne soit pas performant est un risque inhérent à la gestion de fortune et il ne ressort pas de la procédure que J______SA aurait essuyé d'autres échecs de cet ordre auparavant, ses affaires étant au contraire très prospères.</w:t>
      </w:r>
    </w:p>
    <w:p>
      <w:r>
        <w:t>Quant au fonds 2______ créé en 1999, sa liquidation en 2000 a été opérée en raison du fait qu'il n'avait pas atteint la taille critique pour être opérationnel, c'est- à-dire qu'il n'avait pas réuni les capitaux nécessaires pour fonctionner, et non du fait qu'il s'agissait d'un fonds peu performant. Cette liquidation n'avait pas engendré de pertes pour les clients de J______SA. Il ressort ainsi de ce qui précède que ces deux évènements n'étaient pas de nature à mettre en doute le professionnalisme de la société de gestion externe. S'agissant des articles de presse parus entre les 5 janvier et 7 décembre 2000, ceux-ci se faisaient l'écho de la transaction ratée avec N______, ainsi que de l'enlèvement de E______ et de la tentative de racket qui s'en était suivie. Il était question de lenteurs dans la production des documents nécessaires à la finalisation de ladite transaction et de doutes sur la capacité financière de E______ à verser les quelque 15 millions de francs à N______, puis à essuyer le déficit annuel du club. Si les déclarations de P______ - qui relevait en sus un "style de vie qui ne cadr[ait] pas avec l'image d'un dirigeant de club" - allaient dans ce sens, tel n'était pas le cas de celles de O______, qui, le 21 mai 2000, déclarait n'avoir aucune suspicion à l'égard de E______. Un mois plus tard, la presse annonçait la rupture de l'accord en question, faute pour ce dernier d'avoir versé la première tranche de 4 millions. Se posait également la question, dans un des articles, des liens entre la victime et le cerveau présumé des agressions, sans qu'aucune conclusion n'en soit toutefois tirée. Ces articles visaient pour l'essentiel la vie personnelle de E______, en particulier une transaction financière qui avait mis du temps à se finaliser et qui avait finalement échoué, et ses agressions. Ces évènements n'étaient pas de nature à remettre en cause l'honnêteté ou le professionnalisme de ce dernier et, moins encore, de J______SA. Le seul élément qui aurait pu ébranler la réputation de la société de gestion externe était la mention, dans l'article de presse du 21 mai 2000, de la notification à son encontre d'une commination de faillite pour une somme de 235'376 fr., élément qui n'avait toutefois eu aucune suite. Si Q______ avait, par mesure de précaution, rompu ses relations avec J______SA, en octobre 2000, en raison d'un risque de réputation résultant des articles parus, son représentant a déclaré que la banque n'avait toutefois aucune raison, à cette époque, de penser que E______ était malhonnête à l'égard de ses clients. L'appelante avait dûment reçu des explications sur les faits en cause par E______ et avait continué à lui</w:t>
      </w:r>
    </w:p>
    <w:p>
      <w:r>
        <w:t>- 24/27 -</w:t>
      </w:r>
    </w:p>
    <w:p>
      <w:r>
        <w:t>C/20231/2011 accorder sa confiance, à l'instar des autres établissements collaborant avec J______SA. En ce qui concerne enfin le refus de l'appelante d'être la banque dépositaire du fonds 3______, I______ a expliqué qu'il s'agissait d'un montage sophistiqué que ni lui ni les personnes à qui il l'avait soumis n'avaient compris. Le fonds avait toutefois été déposé auprès d'une banque luxembourgeoise. Il avait alors été en quelque sorte vexé de ne pas avoir compris le fonctionnement de ce fonds 3______, alors que M______ semblait l'avoir compris et que le fonds semblait fonctionner, et il s'était demandé s'il n'avait simplement pas compris le montage complexe du fonds et si ses doutes étaient justifiés. Il apparaît ainsi que, lors de la rédaction de la lettre du 13 février 2001, l'appelante n'avait aucune raison de mettre en doute les compétences professionnelles de J______SA et qu'elle pouvait, de manière justifiée, attester de ses bonnes relations avec cette dernière depuis deux ans et de l'évolution globalement satisfaisante de leurs affaires. A la fin du mois de mars 2001, I______, en compagnie de E______ et F______, a rencontré H______, à la demande de ce dernier. Sa présence s'expliquait dans le contexte de la future relation bancaire. I______ a déclaré avoir expliqué que la banque n'allait pas être impliquée dans la gestion - déclaration qui a été corroborée par K______ -, raison pour laquelle il n'avait pas fait part de son opinion sur le fonds 3______. D'une manière générale, il n'est pas établi que la banque aurait eu un rôle actif dans le choix des produits financiers dans lesquels l'intimée a investi. On ne saurait reprocher à I______ de ne pas avoir fait part à H______ du fait qu'il n'avait pas compris le montage financier du fonds 3______ et que, suivant ses recommandations, l'appelante avait refusé d'être la banque dépositaire du fonds. Celui-ci avait finalement été déposé auprès d'un autre établissement et semblait fonctionner. A cette époque, I______ n'avait aucune raison de douter du professionnalisme de E______ même s'il ne comprenait pas tous ses agissements. Après cette date, le seul nouvel évènement pertinent a été la parution d'un article de presse le 21 septembre 2001, lequel faisait le récit du procès des agresseurs de E______, lors duquel ses "mœurs dissolues" et sa "vie sexuelle agitée" avaient été débattues, soit des éléments portant à nouveau sur la vie personnelle de celui-ci et n'entachant pas son professionnalisme. On ne saurait reprocher à l'appelante de ne pas avoir attiré l'attention d'un de ses clients sur des informations relatives à la vie intime d'un des administrateurs de J______SA. Il ressort de ce qui précède que, durant toute la relation ayant lié les parties, tant dès la remise de la lettre de recommandation du 13 février 2001 à H______ que dès l'ouverture de la relation bancaire en avril 2001, l'appelante ne détenait pas d'informations qu'elle était tenue de communiquer à l'intimée. Aucune violation</w:t>
      </w:r>
    </w:p>
    <w:p>
      <w:r>
        <w:t>- 25/27 -</w:t>
      </w:r>
    </w:p>
    <w:p>
      <w:r>
        <w:t>C/20231/2011 d'un devoir d'information ne saurait dès lors être retenue à son encontre. Il n'est ainsi pas nécessaire d'examiner les autres conditions de mise en œuvre de sa responsabilité.</w:t>
      </w:r>
    </w:p>
    <w:p>
      <w:r>
        <w:rPr>
          <w:b/>
        </w:rPr>
        <w:t>E. 9.5</w:t>
      </w:r>
    </w:p>
    <w:p>
      <w:r>
        <w:t>Par conséquent, le jugement attaqué sera annulé et l'intimée sera déboutée des fins de sa demande en paiement. En outre, les sûretés fournies par l'intimée seront libérées en faveur de l'appelante.</w:t>
      </w:r>
    </w:p>
    <w:p>
      <w:r>
        <w:rPr>
          <w:b/>
        </w:rPr>
        <w:t>E. 10</w:t>
      </w:r>
    </w:p>
    <w:p>
      <w:r>
        <w:t>Si l’instance d’appel statue à nouveau, elle se prononce sur les frais de la première instance (art. 318 al. 3 CPC). Les frais judiciaires de première et deuxième instance seront fixés à 400'250 fr., soit respectivement 200'250 fr. pour la première instance (soit 200'000 fr. auxquels il convient d'ajouter 250 fr. de frais effectifs d'administration de preuves) et 200'000 fr. pour la deuxième instance (art. 95, 104 al. 1, 105, 106 al. 1 et 111 al. 1 CPC; art. 17 et 35 RTFMC - RS/GE E 1 05.10). L’intimée, qui succombe, sera condamnée auxdits frais, qui sont entièrement couverts par l'avance de frais opérée par l’appelante de 201'500 fr. (1'500 fr. en première instance pour l'administration des preuves et 200'000 fr. en seconde instance), ainsi que par l'avance de frais de 204'000 fr. (200'000 fr. et 4'000 fr. pour l'administration des preuves) effectuées par l’intimée en première instance - à l'exclusion des avances de frais de 500 fr. fournies par chacune des parties pour la décision incidente et dont le sort a été réglé dans ladite décision -, lesquelles demeurent partiellement acquises à l'Etat (art. 111 al. 1 CPC). Les Services financiers du Pouvoir judiciaires seront invités à restituer la somme de 5'250 fr. à l'appelante (les avances précitées totalisant 405'500 fr. - les frais judiciaires fixés à 400'250 fr.). L’intimée sera dès lors condamnée à verser la somme de 196'250 fr. à l’appelante (201'500 fr. - 5'250 fr.; art. 111 al. 2 CPC) à titre de remboursement des frais judiciaires. L'intimée sera en outre condamnée aux dépens de première instance et d'appel de sa partie adverse, arrêtés à 265'000 fr. TVA et débours compris, correspondant à 185'000 fr. pour la première instance, montant qui n’a pas été contesté par les parties, et à 80'000 fr. pour la deuxième instance, au regard de l'activité déployée par le conseil de l'appelante (art. 95, 104 al. 1, 105 al. 1 et 106 al. 1 CPC; art. 20, 25 et 26 al. 1 LaCC; art. 25 al. 1 LTVA; art. 84, 85 al. 1 et 90 RTFMC), montant duquel il convient de déduire le montant des sûretés de 185'000 fr. libérées en faveur de l'appelante (265'000 fr. - 185'000 fr. = 80'000 fr.). * * * * *</w:t>
      </w:r>
    </w:p>
    <w:p>
      <w:r>
        <w:t>- 26/27 -</w:t>
      </w:r>
    </w:p>
    <w:p>
      <w:r>
        <w:t>C/20231/2011 PAR CES MOTIFS, La Chambre civile : Préalablement : Rectifie la qualité de l'appelante en ce sens que D______ devient A______, soit pour elle B______. A la forme : Déclare recevable l'appel interjeté le 20 octobre 2014 par A______ contre le jugement JTPI/11522/2014 rendu le 17 septembre 2014 par le Tribunal de première instance dans la cause C/20231/2011-20. Au fond : Annule le jugement entrepris et, statuant à nouveau : Déboute C______ des fins de sa demande en paiement formée le 17 novembre 2011 à l'encontre de A______. Ordonne la libération en faveur de A______ des sûretés en 185'000 fr. fournies par C______. Déboute les parties de toutes autres conclusions. Sur les frais : Arrête les frais judiciaires de première instance et d'appel à 400'250 fr., les met à la charge de C______ et dit qu'ils sont entièrement compensés avec les avances de frais fournies par les parties, lesquelles restent acquises à l'Etat de Genève. Ordonne aux Services financiers du Pouvoir judiciaire de restituer la somme de 5'250 fr. à A______. Condamne C______ à verser à A______ la somme de 196'250 fr. à titre de remboursement des frais judiciaires. Condamne C______ à verser à A______ la somme de 80'000 fr. à titre de dépens de première instance et d'appel. Siégeant : Madame Sylvie DROIN, présidente; Monsieur Ivo BUETTI, Madame Ursula ZEHETBAUER GHAVAMI, juges; Madame Marie NIERMARÉCHAL, greffière.</w:t>
      </w:r>
    </w:p>
    <w:p>
      <w:r>
        <w:t>La présidente : Sylvie DROIN</w:t>
      </w:r>
    </w:p>
    <w:p>
      <w:r>
        <w:t>La greffière : Marie NIERMARÉCHAL</w:t>
      </w:r>
    </w:p>
    <w:p>
      <w:r>
        <w:t>- 27/27 -</w:t>
      </w:r>
    </w:p>
    <w:p>
      <w:r>
        <w:t>C/20231/2011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