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ACJC/659/2020 vom 12. Mai 2020</w:t>
      </w:r>
    </w:p>
    <w:p>
      <w:r>
        <w:t>GE Cour de justice, 2020-05-12, FR</w:t>
      </w:r>
    </w:p>
    <w:p>
      <w:r>
        <w:rPr>
          <w:b/>
        </w:rPr>
        <w:t xml:space="preserve">Quelle: </w:t>
      </w:r>
      <w:r>
        <w:t>https://mcp.opencaselaw.ch/entscheid/ge_gerichte_ACJC_659_2020</w:t>
      </w:r>
    </w:p>
    <w:p>
      <w:r>
        <w:t>FR: GE_GERICHTE ACJC/659/2020 du 12 mai 2020</w:t>
      </w:r>
    </w:p>
    <w:p>
      <w:r>
        <w:t>IT: GE_GERICHTE ACJC/659/2020 del 12 maggio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bien que l'impôt fédéral direct relève de la CONFEDERATION SUISSE, le canton, qui taxe et perçoit l'impôt en est le créancier et non simplement le mandataire à l'encaissement. La CONFEDERATION SUISSE, figurant comme requérante dans la demande de mainlevée, n'était ainsi pas créancière de l'impôt et n'était pas légitimée à requérir la mainlevée de l'opposition, de sorte que la requête devait être rejetée.</w:t>
      </w:r>
    </w:p>
    <w:p>
      <w:r>
        <w:t>La CONFEDERATION SUISSE fait valoir que la désignation inexacte de la créancière constituait une simple informalité qui aurait justifié une rectification de la qualité des parties, laquelle aurait pu soit être effectuée par ses soins sur interpellation du Tribunal, soit effectuée d'office par ce dernier. Il n'y avait aucun risque de confusion sur l'identité du créancier, ni sur la nature de la créance. Elle avait déposé par le passé un grand nombre de requêtes en mainlevée pour l'impôt fédéral direct qui avaient été admises. Environ 200 requêtes identiques étaient encore pendantes devant le Tribunal, de sorte qu'une confirmation du jugement querellé entraînerait d'importants frais supplémentaires liés à la nécessité d'introduire de nouvelles procédures d'exécution forcée, avec le risque que les créances fiscales se prescrivent entre temps. Le Tribunal avait fait preuve de formalisme excessif en rejetant sa requête en raison de la seule désignation inexacte de la créancière. Les conditions posées par la loi pour le prononcé de la</w:t>
      </w:r>
    </w:p>
    <w:p>
      <w:r>
        <w:t>- 4/9 -</w:t>
      </w:r>
    </w:p>
    <w:p>
      <w:r>
        <w:t>C/25156/2019 mainlevée définitive étaient par ailleurs réalisées, de sorte que la Cour devait prononcer celle-ci. 2.1.1 Aux termes de l'art. 80 al. 1 LP, le créancier qui est au bénéfice d'un jugement exécutoire peut requérir du juge la mainlevée définitive de l'opposition. Sont assimilés à des jugements les décisions des autorités administratives suisses (art. 80 al. 2 ch. 2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 (al. 2). Dans la procédure de poursuite, les décisions et prononcés des autorités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2.1.2 Selon l'art. 1 de la Loi sur l'impôt fédéral direct (LIFD), la Confédération perçoit au titre de l'impôt fédéral direct, un impôt sur le revenu des personnes physiques, un impôt sur le bénéfice des personnes morales et un impôt à la source sur le revenu de certaines personnes physiques et morales. La taxation et la perception de l'impôt fédéral direct sont effectuées par les cantons, sous la surveillance de la Confédération (art. 2 LIFD). Les cantons versent à la Confédération 78,8% des impôts encaissés, des amendes infligées pour soustraction fiscale ou violation de règles de procédure ainsi que des intérêts qu'ils ont perçus (art. 196 LIFD). Le canton est l'unique titulaire - et non simplement le mandataire à l'encaissement - de la créance d'impôt fédéral direct, à l'exclusion de la Confédération (ATF 141 I 161 consid. 3.3; 142 II 182 consid. 2.2.5; arrêt du Tribunal fédéral 5P_471/2000 consid. 5; ABBET/VEUILLET, La mainlevée de l'opposition, 2017, n. 151 ad art. 80 LP).</w:t>
      </w:r>
    </w:p>
    <w:p>
      <w:r>
        <w:t>- 5/9 -</w:t>
      </w:r>
    </w:p>
    <w:p>
      <w:r>
        <w:t>C/25156/2019 2.1.3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4C_447/2006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3.5.1- 3.5.3). 2.1.4 Selon l'art. 52 CPC, quiconque participe à la procédure doit se conformer aux règles de la bonne foi. Cette injonction s'adresse à tous les participants au procès, parties et juge (arrêt du Tribunal fédéral 4A_590/2016 du 26 janvier 2017 consid. 2.1). Le juge n'a pas à soumettre à la discussion des parties les principes juridiques sur lesquels il va fonder son jugement. En vertu de la règle jura novit curia, il n'est en principe pas lié par les moyens de droit développés par les parties. Le juge peut ainsi appliquer le droit d'office, sans avoir à attirer préalablement l'attention des parties sur l'existence de tel ou tel problème de droit.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n.p. in ATF 138 III 289; 5A_795/2009 du 10 mars 2010 consid. 3.1; 4A_403/2013 du 11 octobre 2013 consid. 3.2.4).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4P_280/2006 du 29 janvier 2007 consid. 4; 5A_344/2012 du 18 septembre 2012 consid. 4.1).</w:t>
      </w:r>
    </w:p>
    <w:p>
      <w:r>
        <w:t>- 6/9 -</w:t>
      </w:r>
    </w:p>
    <w:p>
      <w:r>
        <w:t>C/25156/2019</w:t>
      </w:r>
    </w:p>
    <w:p>
      <w:r>
        <w:rPr>
          <w:b/>
        </w:rPr>
        <w:t>E. 2.2</w:t>
      </w:r>
    </w:p>
    <w:p>
      <w:r>
        <w:t>En l'espèce, le Tribunal a constaté à juste titre que le créancier de l'impôt fédéral direct était l'ETAT DE GENEVE, et non la CONFEDERATION SUISSE, puisque, à teneur de l'art. 2 LIFD, les autorités cantonales sont chargées de la taxation et de la perception de l'impôt précité. A teneur de la jurisprudence, le canton est en effet l'unique titulaire de la créance d'impôt fédéral direct, à l'exclusion de la Confédération, et non simplement le mandataire à l'encaissement. Cela étant, contrairement à ce qu'a retenu le Tribunal, cette informalité ne devait pas entraîner le rejet de la requête de la recourante. Il incombait au contraire au Tribunal de rectifier d'office la qualité de la partie requérante, cas échéant après avoir interpellé les parties sur cette question. Cette rectification se justifiait en l'espèce car il n'existait dans l'esprit du tribunal et des parties aucun doute raisonnable quant à l'identité de la partie requérante, laquelle, s'agissant d'une créance en paiement de l'impôt fédéral direct, résultait de l'objet du litige. Tout risque de confusion pouvait ainsi être exclu. A cela s'ajoute que le Tribunal a violé le principe de la bonne foi, en modifiant sans interpellation préalable une pratique constante, en vigueur depuis de nombreuse années. S'il est constant qu'un changement de jurisprudence s'applique en principe immédiatement et que le juge, qui n'est pas lié par les moyens de droit développés par les parties, peut appliquer le droit d'office, sans avoir à attirer préalablement l'attention de celles-ci sur l'existence de tel ou tel problème de droit, la situation particulière du cas d'espèce justifiait une interpellation préalable des parties. La recourante a en effet déposé depuis plusieurs années de nombreuses demandes de mainlevée définitive pour des créances découlant de la loi sur l'impôt fédéral direct. Dans ces dossiers, des mainlevées définitives ont régulièrement été prononcées par le Tribunal, alors même que, à l'instar de ce qui s'est produit dans le cas d'espèce, la CONFEDERATION SUISSE, et non l'ETAT DE GENEVE, était désignée comme créancière, ce dernier n'apparaissant que comme représentant de celle-ci. Dans la mesure où les actes rédigés par la recourante dans la présente cause sont conformes à la pratique admise de longue date par le Tribunal et que la question de la légitimation active de la CONFEDERATION SUISSE n'a pas été soulevée in casu par la partie intimée, la recourante ne pouvait pas s'attendre à ce que le Tribunal rejette sa requête en raison du seul fait que l'ETAT DE GENEVE, qui la représentait, était seul créancier de l'impôt.</w:t>
      </w:r>
    </w:p>
    <w:p>
      <w:r>
        <w:t>- 7/9 -</w:t>
      </w:r>
    </w:p>
    <w:p>
      <w:r>
        <w:t>C/25156/2019 Au regard de cette situation particulière, si le Tribunal entendait modifier sa pratique, les règles de la bonne foi lui faisaient obligation d'interpeller préalablement les parties et de leur laisser la possibilité de se déterminer sur cette question, voire de rectifier l'informalité, ce qu'il n'a pas fait. Compte tenu de ce qui précède, il se justifie de procéder d'office à la rectification de la qualité de la partie recourante. Comme le fait valoir à juste titre celle-ci, la contraindre à déposer une nouvelle demande de mainlevée, voire à faire notifier un nouveau commandement de payer, ne se justifierait par aucun intérêt digne de protection et compliquerait de manière excessive la réalisation du droit matériel. Sur le fond, la décision de taxation produite par la recourante constitue bien un titre de mainlevée définitive pour le montant faisant l'objet de la poursuite litigieuse. En effet, le fait que la partie intimée allègue avoir des problèmes financiers n'est pas un motif faisant obstacle au prononcé de la mainlevée. Le jugement querellé sera par conséquent annulé et la mainlevée de l'opposition sera prononcée. Il n'y a par contre pas lieu de "dire que la poursuite ira sa voie" comme le souhaite la recourante, cette conclusion excédant le cadre de la présente procédure qui ne peut tendre qu'au prononcé de la mainlevée de l'opposition.</w:t>
      </w:r>
    </w:p>
    <w:p>
      <w:r>
        <w:rPr>
          <w:b/>
        </w:rPr>
        <w:t>E. 3</w:t>
      </w:r>
    </w:p>
    <w:p>
      <w:r>
        <w:t>Les frais judiciaires de première instance, arrêtés à 200 fr. (art. 48 OELP), seront mis à charge de la partie intimée qui succombe (art. 106 al. 1 CPC).</w:t>
      </w:r>
    </w:p>
    <w:p>
      <w:r>
        <w:t>Ils seront compensés avec l'avance versée par la recourante, acquise à l'ETAT DE GENEVE, soit pour lui les Services financiers du Pouvoir judiciaire, la partie intimée étant condamné à les verser à la recourante.</w:t>
      </w:r>
    </w:p>
    <w:p>
      <w:r>
        <w:t>Compte tenu des circonstances et des motifs justifiant l'annulation du jugement, la Cour renoncera à percevoir des frais judiciaires de recours (art. 7 RTFMC). L'avance versée par la recourante lui sera restituée.</w:t>
      </w:r>
    </w:p>
    <w:p>
      <w:r>
        <w:t>Il ne sera pas alloué de dépens de recours, dans la mesure où la recourante plaide en personne et où elle n'a pas effectué de démarches justifiant l'allocation de dépens (art. 95 al. 3 let. c CPC). * * * * *</w:t>
      </w:r>
    </w:p>
    <w:p>
      <w:r>
        <w:t>- 8/9 -</w:t>
      </w:r>
    </w:p>
    <w:p>
      <w:r>
        <w:t>C/25156/2019</w:t>
      </w:r>
    </w:p>
    <w:p>
      <w:r>
        <w:t>PAR CES MOTIFS, La Chambre civile : A la forme : Déclare recevable le recours interjeté par la CONFEDERATION SUISSE, représentée par l'ETAT DE GENEVE, soit pour lui l'Administration fiscale cantonale, contre le jugement JTPI/2045/2020 rendu le 3 février 2020 par le Tribunal de première instance dans la cause C/25156/2019-10 SML. Au fond : Annule le jugement querellé et, statuant à nouveau : Rectifie la qualité de la partie recourante, en ce sens qu'il s'agit de l'ETAT DE GENEVE, soit pour lui l'Administration fiscale cantonale. Prononce la mainlevée définitive de l'opposition formée par A______ au commandement de payer, poursuite n° 1______. Met à charge de A______ les frais judiciaires de première instance, arrêtés à 200 fr. et compensés avec l'avance versée. Condamne A______ à verser à l'ETAT DE GENEVE, soit pour lui l'Administration fiscale cantonale, 200 fr. au titre des frais judiciaires de première instance. Dit qu'il n'est pas alloué de dépens de première instance. Déboute les parties de toutes autres conclusions. Sur les frais : Renonce à prélever des frais judiciaires de recours. Invite l'ETAT DE GENEVE, soit pour lui les Services financiers du Pouvoir judiciaire, à restituer à l'ETAT DE GENEVE, soit pour lui l'Administration fiscale cantonale, l'avance de frais versée en 300 fr. Dit qu'il n'est pas alloué de dépens.</w:t>
      </w:r>
    </w:p>
    <w:p>
      <w:r>
        <w:t>- 9/9 -</w:t>
      </w:r>
    </w:p>
    <w:p>
      <w:r>
        <w:t>C/25156/2019 Siégeant : Monsieur Laurent RIEBEN, président; Madame Pauline ERARD et Madame Fabienne GEISINGER-MARIETHOZ, juges; Madame Mélanie DE RESENDE PEREIRA, greffière.</w:t>
      </w:r>
    </w:p>
    <w:p>
      <w:r>
        <w:t>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