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ACJC/658/2023 vom 23. Mai 2023</w:t>
      </w:r>
    </w:p>
    <w:p>
      <w:r>
        <w:t>GE Cour de justice, 2023-05-23, FR</w:t>
      </w:r>
    </w:p>
    <w:p>
      <w:r>
        <w:rPr>
          <w:b/>
        </w:rPr>
        <w:t xml:space="preserve">Quelle: </w:t>
      </w:r>
      <w:r>
        <w:t>https://mcp.opencaselaw.ch/entscheid/ge_gerichte_ACJC_658_2023</w:t>
      </w:r>
    </w:p>
    <w:p>
      <w:r>
        <w:t>FR: GE_GERICHTE ACJC/658/2023 du 23 mai 2023</w:t>
      </w:r>
    </w:p>
    <w:p>
      <w:r>
        <w:t>IT: GE_GERICHTE ACJC/658/2023 del 23 maggio 2023</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w:t>
      </w:r>
    </w:p>
    <w:p>
      <w:r>
        <w:t>- 4/9 -</w:t>
      </w:r>
    </w:p>
    <w:p>
      <w:r>
        <w:t>C/21361/2022 notification de la décision motivée, pour les décisions prises en procédure sommaire (art. 251 let. a CPC). A Genève, la Chambre civile de la Cour de justice est l'instance compétente pour connaître d'un recours (art. 120 al. 1 let. a LOJ). Le recours a été formé dans le délai et la forme prescrits la loi, de sorte qu'il est recevable.</w:t>
      </w:r>
    </w:p>
    <w:p>
      <w:r>
        <w:rPr>
          <w:b/>
        </w:rPr>
        <w:t>E. 2</w:t>
      </w:r>
    </w:p>
    <w:p>
      <w:r>
        <w:t>Dans le cadre d'un recours, le pouvoir d'examen de la Cour est limité à la violation du droit et à la constatation manifestement inexacte des faits (art. 320 CPC).</w:t>
      </w:r>
    </w:p>
    <w:p>
      <w:r>
        <w:t>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3</w:t>
      </w:r>
    </w:p>
    <w:p>
      <w:r>
        <w:t>Les pièces nouvelles sont irrecevables (art. 326 al. 1 CPC). Il en va ainsi de l'état de situation au 24 octobre 2022, dans la mesure de son actualisation.</w:t>
      </w:r>
    </w:p>
    <w:p>
      <w:r>
        <w:rPr>
          <w:b/>
        </w:rPr>
        <w:t>E. 4</w:t>
      </w:r>
    </w:p>
    <w:p>
      <w:r>
        <w:t>4.1.1 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 Le juge de la mainlevée doit également examiner d'office non seulement l'existence d'un titre à la mainlevée définitive et son caractère exécutoire (ATF 139 III 444 consid. 4.1.1; GILLIERON, Commentaire de la loi fédérale sur la poursuite pour dettes et la faillite 1999 p. 1220 n. 22).</w:t>
      </w:r>
    </w:p>
    <w:p>
      <w:r>
        <w:t>- 5/9 -</w:t>
      </w:r>
    </w:p>
    <w:p>
      <w:r>
        <w:t>C/21361/2022 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 4.1.2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l'art. 336 CPC, une décision est exécutoire lorsqu'elle est entrée en force et que le Tribunal n'a pas suspendu l'exécution (al. 1 let. a) et lorsqu'elle n'est pas encore entrée en force mais que son exécution anticipée a été prononcée (al. 1 let. b). Le tribunal qui a rendu la décision à exécuter en atteste sur demande le caractère exécutoire (al. 2). A l'instar de ce qui prévalait avant l'entrée en vigueur du CPC, l'attestation du caractère exécutoire du jugement, ne possède qu'une valeur déclarative et sert avant tout de moyen de preuve, l'attestation faisant présumer le caractère exécutoire de la sentence (JEANDIN, in Code de procédure civile commenté, Bohnet/Haldy/Jeandin/ Schweizer/Tappy [éd.], 2019, n. 9 ad art. 336 CPC; STAEHELIN, op. cit., n. 17 ad art. 80 LP). En matière de mainlevée, la production d'une telle attestation n'est que facultative, le caractère exécutoire de la décision pouvant être démontré d'une autre manière, par exemple lorsqu'il ressort des circonstances que le poursuivi n'a pas contesté le caractère exécutoire du jugement ou qu'il n'avait aucun motif de le contester ou encore que plusieurs années se sont écoulées depuis la communication de la décision (STAEHELIN, op. cit., n. 55 ad art. 80 LP). 4.1.3 Sont assimilées à des jugements les décisions des autorités administratives suisses (art. 80 al. 2 ch. 2 LP). A teneur de l'art. 12 al. 2 de la Loi fédérale du 20 décembre 1946 sur l'assurance- vieillesse et survivants (LAVS - RS 831.10), sont tenus de payer des cotisations tous les employeurs ayant un établissement stable en Suisse ou occupant dans leur ménage des personnes obligatoirement assurées. Les cotisations sont payées à la caisse par les employeurs par trimestre lorsque la masse salariale n'excède pas 200'000 fr. par an (art. 34 al. 1 let. a RAVS).</w:t>
      </w:r>
    </w:p>
    <w:p>
      <w:r>
        <w:t>- 6/9 -</w:t>
      </w:r>
    </w:p>
    <w:p>
      <w:r>
        <w:t>C/21361/2022 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 L'art. 35 RAVS prévoit que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de la Loi fédérale du 6 octobre 2000 sur la partie générale du droit des assurances sociales (LPGA - RS 830.1)</w:t>
      </w:r>
    </w:p>
    <w:p>
      <w:r>
        <w:t>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(art. 54 al. 2 LPGA).</w:t>
      </w:r>
    </w:p>
    <w:p>
      <w:r>
        <w:t>Selon la jurisprudence constante du Tribunal fédéral, la preuve de la notification d'un acte peut résulter de l'ensemble des circonstances, en particulier de l'absence de réaction de l'intéressé, qui non seulement ne conteste pas lors de l'audience de mainlevée avoir reçu la décision à l'origine de la poursuite, mais fait défaut à cette audience, admet implicitement avoir reçu la décision en question (arrêts du Tribunal fédéral 5A_339/2011 du 26 août 2011 consid. 3; 5D_173/2008 du 20 février 2009 consid. 5.1). 4.1.4 Le juge doit ordonner la mainlevée définitive de l'opposition, à moins que l'opposant ne prouve par titre que la dette a été éteinte ou qu'il a obtenu un sursis, postérieurement au jugement, ou qu'il ne se prévale de la prescription (art. 81 al. 1 LP).</w:t>
      </w:r>
    </w:p>
    <w:p>
      <w:r>
        <w:t>4.2.1 Dans le présent cas, la recourante a notifié une décision de cotisations à l'intimé, le 17 mars 2022, portant sur 436 fr. 30, puis, alors que le délai pour former opposition à ladite décision était échu, une sommation de payer, les cotisations n'ayant pas été acquittées. Ces décisions ont été adressées à l'intimé à l'adresse de son domicile. Conformément à la jurisprudence rappelée ci-avant, il sera retenu que l'intimé a implicitement admis avoir reçu ladite décision, dès lors qu'il n'a pas contesté que tel soit le cas, faisant valoir seulement à l'audience du Tribunal que celle-ci était erronée. Par ailleurs, il ne résulte pas des titres versés à la procédure que l'intimé aurait formé opposition à la décision du 17 mars 2022, de sorte que celle-ci est définitive et exécutoire. Conformément aux art. 80 LP et</w:t>
      </w:r>
    </w:p>
    <w:p>
      <w:r>
        <w:t>- 7/9 -</w:t>
      </w:r>
    </w:p>
    <w:p>
      <w:r>
        <w:t>C/21361/2022 54 LPGA, la décision de cotisation constitue un titre de mainlevée définitive, contrairement à ce qu'a retenu le Tribunal. L'absence de production d'une attestation du caractère exécutoire ne modifie pas cette appréciation. En ce qui concerne les montants en poursuite, la somme de 431 fr. 80 repose sur les cotisations dues pour le premier trimestre de l'année 2022. La recourante était fondée à réclamer des frais de sommation, de 20 fr., tels que prévus par l'art. 34a RAVS, ainsi que des intérêts moratoires (et intérêts de retard). En revanche, le montant de la cotisation ne repose sur aucun titre valable.</w:t>
      </w:r>
    </w:p>
    <w:p>
      <w:r>
        <w:t>Le cumul des intérêts et intérêts moratoires n'est pas contraire à l'interdiction de l'anatocisme (art. 105 al. 3 CO), dès lors que le montant des intérêts n'est pas incorporé à celui de la dette principale, et que les intérêts à 5% ont été demandés pour la période postérieure, soit dès le 16 août 2022. En revanche, il sera rappelé que les frais du commandement de payer suivent le sort de la poursuite (art. 68 al. 1 LP), de sorte qu'ils ne font pas l'objet de la mainlevée d'opposition. 4.2.2 Dès lors, le recours sera admis dans les limites de ce qui précède. L'affaire étant en état d'être jugée, il sera statué à nouveau (art. 327 al. 3 let. b CPC), dans le sens que la mainlevée définitive sera prononcée pour les postes 1 à 3 du commandement de payer, poursuite n° 1______. 5. L'intimé, qui succombe, sera condamné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Partant, l'émolument de la présente décision sera fixé à 150 fr. et mis à la charge de l'intimé, compensé avec l'avance de frais du même montant fournie par la recourante, acquise à l'Etat (art. 111 al. 1 CPC). L'intimé sera en conséquence condamné à verser la somme de 250 fr. à titre de remboursement des avances de frais à la recourante. Il ne sera pas alloué de dépens à la recourante qui comparaît en personne, les démarches effectuées ne le justifiant pas (art. 95 al. 3 let. c CPC a contrario). * * * * *</w:t>
      </w:r>
    </w:p>
    <w:p>
      <w:r>
        <w:t>- 8/9 -</w:t>
      </w:r>
    </w:p>
    <w:p>
      <w:r>
        <w:t>C/21361/2022 PAR CES MOTIFS, La Chambre civile : A la forme : Déclare recevable le recours interjeté le 17 février 2023 par CAISSE AVS A______ contre le jugement JTPI/1799/2023 rendu le 6 février 2023 par le Tribunal de première instance dans la cause C/21361/2022 - 12 SML. Au fond : Annule ce jugement. Cela fait, statuant à nouveau: Prononce la mainlevée définitive de l'opposition formée au commandement de payer, poursuite n° 1______, pour les postes 1 à 3. Déboute les parties de toutes autres conclusions. Sur les frais : Arrête les frais judiciaires de première et seconde instance à 250 fr., les met à la charge de B______, et dit qu'ils sont compensés avec les avances fournies, acquises à l'Etat de Genève. Condamne en conséquence B______ à verser à CAISSE AVS A______ la somme de 250 fr. en remboursement des avances opérées. Dit qu’il n’est pas alloué de dépens de recours. Siégeant : Madame Pauline ERARD, présidente; Madame Sylvie DROIN, Madame Nathalie LANDRY-BARTHE, juges; Madame Marie-Pierre GROSJEAN, greffière.</w:t>
      </w:r>
    </w:p>
    <w:p>
      <w:r>
        <w:t>La présidente : Pauline ERARD</w:t>
      </w:r>
    </w:p>
    <w:p>
      <w:r>
        <w:t>La greffière : Marie-Pierre GROSJEAN</w:t>
      </w:r>
    </w:p>
    <w:p>
      <w:r>
        <w:t>- 9/9 -</w:t>
      </w:r>
    </w:p>
    <w:p>
      <w:r>
        <w:t>C/21361/2022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