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ACJC/658/2015 vom 10. Juni 2015</w:t>
      </w:r>
    </w:p>
    <w:p>
      <w:r>
        <w:t>GE Cour de justice, 2015-06-10, FR</w:t>
      </w:r>
    </w:p>
    <w:p>
      <w:r>
        <w:rPr>
          <w:b/>
        </w:rPr>
        <w:t xml:space="preserve">Quelle: </w:t>
      </w:r>
      <w:r>
        <w:t>https://mcp.opencaselaw.ch/entscheid/ge_gerichte_ACJC_658_2015</w:t>
      </w:r>
    </w:p>
    <w:p>
      <w:r>
        <w:t>FR: GE_GERICHTE ACJC/658/2015 du 10 juin 2015</w:t>
      </w:r>
    </w:p>
    <w:p>
      <w:r>
        <w:t>IT: GE_GERICHTE ACJC/658/2015 del 10 giugno 2015</w:t>
      </w:r>
    </w:p>
    <w:p>
      <w:pPr>
        <w:pStyle w:val="Heading2"/>
      </w:pPr>
      <w:r>
        <w:t>Erwägungen</w:t>
      </w:r>
    </w:p>
    <w:p>
      <w:r>
        <w:rPr>
          <w:b/>
        </w:rPr>
        <w:t>E. 1.1</w:t>
      </w:r>
    </w:p>
    <w:p>
      <w:r>
        <w:t>L'appel a été interjeté dans le délai de trente jours et suivant la forme prescrite par la loi (art. 311 al. 1 CPC). Il est dirigé contre une décision finale de première instance, dans une affaire patrimoniale d'une valeur litigieuse supérieure à 10'000 fr. (art. 308 al. 1 let. a et al. 2 CPC).</w:t>
      </w:r>
    </w:p>
    <w:p>
      <w:r>
        <w:t>Partant, il est recevable.</w:t>
      </w:r>
    </w:p>
    <w:p>
      <w:r>
        <w:t>Toutefois, en l'absence de faits nouveaux ou de moyens de preuve nouveaux, toute modification des conclusions des parties est exclue (art. 317 al. 2 CPC).</w:t>
      </w:r>
    </w:p>
    <w:p>
      <w:r>
        <w:t>En l'espèce, les conclusions de l'appelant sur appel principal (ci-après : l'appelant), tendant pour la première fois à différentes constatations, sont donc irrecevables.</w:t>
      </w:r>
    </w:p>
    <w:p>
      <w:r>
        <w:t>A titre superfétatoire, ces conclusions sont aussi irrecevables pour défaut d'un intérêt digne de protection (art. 59 al. 2 let. a CPC), puisque l'appelant conclut de toute façon au rejet de l'action en paiement dirigée contre lui.</w:t>
      </w:r>
    </w:p>
    <w:p>
      <w:r>
        <w:rPr>
          <w:b/>
        </w:rPr>
        <w:t>E. 1.2</w:t>
      </w:r>
    </w:p>
    <w:p>
      <w:r>
        <w:t>L'appel joint a été interjeté dans le délai imparti pour la réponse (art. 313 al. 1 CPC) et suivant la forme prescrite par la loi (art. 311 al. 1 CPC).</w:t>
      </w:r>
    </w:p>
    <w:p>
      <w:r>
        <w:t>Il est donc recevable.</w:t>
      </w:r>
    </w:p>
    <w:p>
      <w:r>
        <w:rPr>
          <w:b/>
        </w:rPr>
        <w:t>E. 2.1</w:t>
      </w:r>
    </w:p>
    <w:p>
      <w:r>
        <w:t>D'après la jurisprudence, lorsqu'un architecte est chargé d'établir des plans, des soumissions ou des projets de construction, il se conclut un contrat d'entreprise (art. 363 CO). S'il est chargé des adjudications et de la surveillance des travaux, il s'agit d'un mandat (art. 394 CO). Si sa mission englobe des activités relevant des deux catégories, le contrat est mixte et relève, suivant les prestations, du mandat ou du contrat d'entreprise (ATF 127 III 543 consid. 2a; 114 II 53 consid. 2b; 110 II 380 consid. 2), ce qui permet d'arriver à des solutions appropriées aux circonstances par l'application soit des règles du mandat soit des dispositions sur le contrat d'entreprise (ATF 114 II 53 = JdT 1988 I 360 consid. 2b).</w:t>
      </w:r>
    </w:p>
    <w:p>
      <w:r>
        <w:t>Aux termes de l'art. 394 al. 3 CO, une rémunération est due au mandataire si la convention ou l'usage lui en assure une, alors que l'entrepreneur a toujours droit à une rémunération (art. 363 CO).</w:t>
      </w:r>
    </w:p>
    <w:p>
      <w:r>
        <w:rPr>
          <w:b/>
        </w:rPr>
        <w:t>E. 2.2</w:t>
      </w:r>
    </w:p>
    <w:p>
      <w:r>
        <w:t>En l'espèce, l'appelant et l'intimée sur appel principal (ci-après : l'intimée), qui exploite un bureau d'architecture, ont convenu de la préparation, par l'intimée,</w:t>
      </w:r>
    </w:p>
    <w:p>
      <w:r>
        <w:t>- 8/13 -</w:t>
      </w:r>
    </w:p>
    <w:p>
      <w:r>
        <w:t>C/12569/2013 d'une demande préalable d'autorisation de construire deux appartements sur le toit de l'immeuble de l'appelant.</w:t>
      </w:r>
    </w:p>
    <w:p>
      <w:r>
        <w:t>Ce faisant, les parties ont conclu un contrat d'entreprise portant sur la préparation de tous les documents nécessaires et utiles à la demande préalable. Elles ont volontairement limité les travaux de l'intimée, dans un premier temps, à ces démarches destinées à clarifier la faisabilité juridique du projet, sans égard à d'éventuelles contraintes techniques. Par ailleurs, l'appelant ne conteste pas, à juste titre, le caractère onéreux du contrat conclu avec l'intimée qui a offert ses prestations à titre professionnel et non pas à titre gracieux, les liens de connaissance entre l'un des associé de l'intimée et l'appelant ne justifiant pas la gratuité de l'ouvrage fourni par l'intimée.</w:t>
      </w:r>
    </w:p>
    <w:p>
      <w:r>
        <w:rPr>
          <w:b/>
        </w:rPr>
        <w:t>E. 3.1</w:t>
      </w:r>
    </w:p>
    <w:p>
      <w:r>
        <w:t>En droit suisse, la rémunération due à l'entrepreneur obéit au principe de la liberté contractuelle (art. 19 al. 1 CO). Ainsi, pour déterminer le montant de la rémunération, il faut examiner, en premier lieu, si les parties se sont mises d'accord sur ce point.</w:t>
      </w:r>
    </w:p>
    <w:p>
      <w:r>
        <w:t>Si le prix n'a pas été fixé d'avance, il doit être déterminé d'après la valeur du travail et des dépenses de l'entrepreneur (art. 374 CO). Ainsi, le juge arrête une rémunération objectivement proportionnée aux services rendus par un architecte, en tenant compte notamment du genre et de la durée de la mission accomplie, de son importance et de ses difficultés, et de la responsabilité assumée. Les règlements et tarifs SIA ne sont déterminants que dans la mesure où les parties ont expressément ou tacitement convenu de s'y référer; à défaut, ils n'ont pas valeur d'usage (arrêt du Tribunal fédéral 4A_230/2013 du 17 septembre 2013 consid. 2).</w:t>
      </w:r>
    </w:p>
    <w:p>
      <w:r>
        <w:rPr>
          <w:b/>
        </w:rPr>
        <w:t>E. 3.2</w:t>
      </w:r>
    </w:p>
    <w:p>
      <w:r>
        <w:t>En l'espèce, les parties n'ont pas discuté du montant de la rémunération et, partant, elles n'ont pas intégré les normes et tarifs SIA dans leur contrat. Par conséquent, il s'agit d'arrêter le montant de la rémunération au regard, notamment, du genre et de la durée de la mission accomplie, de son importance et de ses difficultés, ainsi que la responsabilité assumée par l'intimée.</w:t>
      </w:r>
    </w:p>
    <w:p>
      <w:r>
        <w:t>L'intimée a fourni un travail consistant, pour l'essentiel, à remanier de façon importante le plan fourni par l'appelant pour aboutir à une construction nouvelle plus rationnelle et moins coûteuse, en alignant les gaines techniques et les murs porteurs des nouveaux appartements sur ceux des étages inférieurs, et en modifiant le plan sommaire dessiné par l'appelant de manière à éviter la nécessité d'obtenir des servitudes de distance et de vue. Par ailleurs, l'intimée a dessiné tous les plans selon les normes applicables, avec des cotes exactes, et elle a aussi fourni des simulations de façades en trois dimensions, utiles pour donner une meilleure impression de l'emprise visuelle de la construction projetée. Enfin, elle a rempli le formulaire de demande préalable et constitué le dossier annexé.</w:t>
      </w:r>
    </w:p>
    <w:p>
      <w:r>
        <w:t>- 9/13 -</w:t>
      </w:r>
    </w:p>
    <w:p>
      <w:r>
        <w:t>C/12569/2013</w:t>
      </w:r>
    </w:p>
    <w:p>
      <w:r>
        <w:t>Si ce travail ne présentait pas une difficulté excessive et si la responsabilité de l'intimée était relativement limitée, s'agissant d'une simple demande préalable, l'ouvrage fourni a néanmoins nécessité un nombre d'heures assez important.</w:t>
      </w:r>
    </w:p>
    <w:p>
      <w:r>
        <w:t>C'est ainsi à juste titre que le premier juge a arrêté les seuls honoraires, en fonction de ces éléments et hormis la question d'un éventuel défaut de l'ouvrage, à 15'100 fr., en appliquant un tarif de 100 fr. de l'heure.</w:t>
      </w:r>
    </w:p>
    <w:p>
      <w:r>
        <w:t>S'y ajoutent les frais, de 258 fr. 10.</w:t>
      </w:r>
    </w:p>
    <w:p>
      <w:r>
        <w:rPr>
          <w:b/>
        </w:rPr>
        <w:t>E. 4.1</w:t>
      </w:r>
    </w:p>
    <w:p>
      <w:r>
        <w:t>Lorsque l'ouvrage est défectueux ou si peu conforme à la convention que le maître ne puisse en faire usage ou être équitablement contraint de l'accepter, le maître a le droit de le refuser (art. 368 al.1 CO). Lorsque les défauts sont de moindre importance, le maître peut réduire le prix en proportion de la moins- value; en plus, il peut demander des dommages-intérêts si l'entrepreneur est en faute (art. 368 al. 2 CO).</w:t>
      </w:r>
    </w:p>
    <w:p>
      <w:r>
        <w:t>Dès l'acceptation expresse ou tacite de l'ouvrage par le maître, l'entrepreneur est déchargé de toute responsabilité, à moins qu'il ne s'agisse de défauts qui ne pouvaient pas être constatés lors de la vérification régulière et de la réception de l'ouvrage (art. 370 CO).</w:t>
      </w:r>
    </w:p>
    <w:p>
      <w:r>
        <w:rPr>
          <w:b/>
        </w:rPr>
        <w:t>E. 4.2</w:t>
      </w:r>
    </w:p>
    <w:p>
      <w:r>
        <w:t>L'appelant prétend que le dossier de demande préalable n'était pas conforme à ses souhaits parce qu'il portait sur une simple "surélévation" de son immeuble au lieu de porter sur un "attique", et il impute à l'intimée l'échec de la demande préalable en prétendant qu'un "attique", avec un retrait de façade de 2m50, aurait obtenu une autorisation préalable, contrairement à la "surélévation" dessinée par l'intimée.</w:t>
      </w:r>
    </w:p>
    <w:p>
      <w:r>
        <w:t>Or, il résulte de la procédure que les notions de "surélévation" et d'"attique" ont été utilisées de façon interchangeable par les deux parties comme par l'architecte que l'appelant avait consulté préalablement, et qu'au regard de la pratique des autorités compétentes, seul le retrait de façade de la construction en toiture jouait un certain rôle, pas nécessairement déterminant. De surcroît, le gabarit de l'immeuble de l'appelant dépassait déjà la hauteur autorisée par les normes applicables, sans la construction nouvelle sur son toit.</w:t>
      </w:r>
    </w:p>
    <w:p>
      <w:r>
        <w:t>L'appelant ne peut donc en tout cas pas imputer à l'intimée l'échec de sa demande préalable d'autorisation de construire dont le succès ne pouvait tout simplement pas être garanti, même pour un "attique" avec un retrait de façade de 2m50, comme l'appelant le savait déjà avant de s'adresser à l'intimée, sur la base du rapport circonstancié de l'architecte consulté préalablement.</w:t>
      </w:r>
    </w:p>
    <w:p>
      <w:r>
        <w:t>En connaissance de cause, l'appelant avait lui-même dessiné un plan pour un appartement avec un retrait de façade de 1m51 et un autre plan pour deux</w:t>
      </w:r>
    </w:p>
    <w:p>
      <w:r>
        <w:t>- 10/13 -</w:t>
      </w:r>
    </w:p>
    <w:p>
      <w:r>
        <w:t>C/12569/2013 appartements avec un retrait de façade de 1m18. Il a soumis les deux plans à l'intimée, puis chargé celle-ci de constituer un dossier pour la construction de deux appartements, en sachant que le succès de sa demande de construire n'était pas garanti.</w:t>
      </w:r>
    </w:p>
    <w:p>
      <w:r>
        <w:t>Lorsqu'un employé de l'intimée lui a soumis le plan remanié et affiné pour deux appartements, il a pu constater qu'il n'y avait toujours pas de retrait de façade d'au moins 2m50. Il a néanmoins donné son accord au dépôt d'une demande préalable de construire, sur la base de ce plan.</w:t>
      </w:r>
    </w:p>
    <w:p>
      <w:r>
        <w:t>Par la suite, il n'a pas réagi à la réception du dossier complet de demande préalable qui comportait le même plan pour deux appartements, ainsi que des plans et simulations de façades qui montraient le faible retrait et, partant, la bonne visibilité de la construction nouvelle sur le toit.</w:t>
      </w:r>
    </w:p>
    <w:p>
      <w:r>
        <w:t>Il résulte de ce qui précède que l'appelant n'a pas commandé des plans pour un "attique" avec un retrait de façade d'au moins 2m50, et n'a pas exclu une "surélévation" avec un retrait de façade moins important. Ainsi, le dossier constitué par l'intimée ne souffrait d'aucun défaut. Qui plus est, en ne réagissant nullement à la réception du dossier, l'appelant l'a approuvé tacitement, tel quel.</w:t>
      </w:r>
    </w:p>
    <w:p>
      <w:r>
        <w:t>Par conséquent, il ne peut ni réclamer une réduction du prix de l'ouvrage, ni invoquer en compensation (art. 120 ss CO) une créance contre l'intimée en paiement de dommages-intérêts, pour cause de mauvaise exécution, fautive, de l'ouvrage.</w:t>
      </w:r>
    </w:p>
    <w:p>
      <w:r>
        <w:t>Dans ces circonstances, il n'est pas nécessaire de trancher la question de savoir si, en l'absence de faits nouveaux, l'exception de compensation pouvait encore être invoquée, pour la première fois, en appel.</w:t>
      </w:r>
    </w:p>
    <w:p>
      <w:r>
        <w:t>En tout état, il n'y a pas de raison de réduire les honoraires et frais, arrêtés à la somme totale de 15'358 fr. 10.</w:t>
      </w:r>
    </w:p>
    <w:p>
      <w:r>
        <w:rPr>
          <w:b/>
        </w:rPr>
        <w:t>E. 5.1</w:t>
      </w:r>
    </w:p>
    <w:p>
      <w:r>
        <w:t>Le débiteur qui est en demeure pour le paiement d'une somme d'argent doit l'intérêt moratoire à 5% l'an (art. 104 al. 1 CO).</w:t>
      </w:r>
    </w:p>
    <w:p>
      <w:r>
        <w:t>L'obligation de payer l'intérêt moratoire est subordonnée à l'exigibilité de la créance et à la mise en demeure du débiteur, par interpellation (art. 102 al. 1 CO). L'envoi d'une simple facture ne suffit pas puisqu'elle n'a pour but que de faire connaître au débiteur le montant de sa dette; c'est seulement lorsque la facture comporte également un délai de paiement que l'on peut considérer qu'il y a là une interpellation, pour la fin du délai (cf. arrêt du Tribunal fédéral 4C.91/2003 consid. 7.2).</w:t>
      </w:r>
    </w:p>
    <w:p>
      <w:r>
        <w:t>- 11/13 -</w:t>
      </w:r>
    </w:p>
    <w:p>
      <w:r>
        <w:t>C/12569/2013</w:t>
      </w:r>
    </w:p>
    <w:p>
      <w:r>
        <w:rPr>
          <w:b/>
        </w:rPr>
        <w:t>E. 5.2</w:t>
      </w:r>
    </w:p>
    <w:p>
      <w:r>
        <w:t>En l'absence d'un délai de paiement mentionné dans la facture de l'intimée et de toute autre sommation de payer ultérieure, c'est le dépôt de la présente action en conciliation, le 3 juin 2013, qui vaut interpellation.</w:t>
      </w:r>
    </w:p>
    <w:p>
      <w:r>
        <w:t>Par conséquent, c'est à juste titre que le premier juge a condamné l'appelant à payer à l'intimée la somme de 15'358 fr. 10, avec intérêts à 5% l'an, dès le 3 juin 2013.</w:t>
      </w:r>
    </w:p>
    <w:p>
      <w:r>
        <w:rPr>
          <w:b/>
        </w:rPr>
        <w:t>E. 6.1</w:t>
      </w:r>
    </w:p>
    <w:p>
      <w:r>
        <w:t>Les parties n'ont pas remis en cause les frais judiciaires arrêtés par le premier juge à 2'000 fr., ni les dépens, débours et TVA compris, arrêtés à 2'000 fr. Il n'y a donc pas lieu de les examiner (art. 318 al. 3 CPC a contrario).</w:t>
      </w:r>
    </w:p>
    <w:p>
      <w:r>
        <w:rPr>
          <w:b/>
        </w:rPr>
        <w:t>E. 6.2</w:t>
      </w:r>
    </w:p>
    <w:p>
      <w:r>
        <w:t>Les frais judiciaires d'appel seront arrêtés à 2'540 fr. (art. 35 et 17 RTFMC). Vu l'issue du litige, ils seront mis à la charge de l'appelant sur appel principal à concurrence de 1'540 fr. et compensés avec l'avance de 1'540 fr. qu'il a versée, acquise à l'Etat. Pour le surplus, soit à concurrence de 1'000 fr., les frais judiciaires d'appel seront mis à la charge de l'appelante sur appel joint et compensés avec l'avance de 1'000 fr. qu'elle a versée, acquise à l'Etat.</w:t>
      </w:r>
    </w:p>
    <w:p>
      <w:r>
        <w:t>Les dépens de l'intimée sur appel principal, débours et TVA compris, seront arrêtés à 1'500 fr. (art. 25, 26 LaCC, art. 84, 85 et 90 RTFMC), et au vu de l'issue du litige, ils seront mis à la charge de l'appelant sur appel principal.</w:t>
      </w:r>
    </w:p>
    <w:p>
      <w:r>
        <w:t>Les dépens de l'intimé sur appel joint, débours et TVA compris, seront arrêtés à 500 fr. (art. 25, 26 LaCC, art. 84, 85 et 90 RTFMC), et au vu de l'issue du litige, ils seront mis à la charge de l'appelante sur appel joint. * * * * *</w:t>
      </w:r>
    </w:p>
    <w:p>
      <w:r>
        <w:t>- 12/13 -</w:t>
      </w:r>
    </w:p>
    <w:p>
      <w:r>
        <w:t>C/12569/2013 PAR CES MOTIFS, La Chambre civile : A la forme : Déclare recevable l'appel principal interjeté le 10 octobre 2014 par A.______ et l'appel joint interjeté le 27 novembre 2014 par la société en nom collectif B.______ contre le jugement JTPI/11182/2014 rendu le 8 septembre 2014 par le Tribunal de première instance dans la cause C/12569/2013-10. Au fond : Confirme le jugement entrepris. Déboute les parties de toutes autres conclusions. Sur les frais : Arrête les frais judiciaires d'appel à 2'540 fr., les met à la charge de A.______ à concurrence de 1'540 fr. et à la charge de B.______ à concurrence de 1'000 fr., les compense avec l'avance de 1'540 fr. fournie par A.______ et avec l'avance de 1'000 fr. fournie par B.______ et dit que ces avances sont acquises à l'Etat de Genève. Condamne A.______ à payer à B.______ la somme de 1'500 fr. à titre de dépens d'appel. Condamne B.______ à payer à A.______ la somme de 500 fr. à titre de dépens d'appel. Siégeant : Madame Florence KRAUSKOPF, présidente; Monsieur Ivo BUETTI, Madame Ursula ZEHETBAUER GHAVAMI, juges; Madame Marie NIERMARÉCHAL, greffière.</w:t>
      </w:r>
    </w:p>
    <w:p>
      <w:r>
        <w:t>La présidente : Florence KRAUSKOPF</w:t>
      </w:r>
    </w:p>
    <w:p>
      <w:r>
        <w:t>La greffière : Marie NIERMARÉCHAL</w:t>
      </w:r>
    </w:p>
    <w:p>
      <w:r>
        <w:t>- 13/13 -</w:t>
      </w:r>
    </w:p>
    <w:p>
      <w:r>
        <w:t>C/12569/2013</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