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ACJC/657/2026 vom 20. April 2026</w:t>
      </w:r>
    </w:p>
    <w:p>
      <w:r>
        <w:t>GE Cour de justice, 2026-04-20, FR</w:t>
      </w:r>
    </w:p>
    <w:p>
      <w:r>
        <w:rPr>
          <w:b/>
        </w:rPr>
        <w:t xml:space="preserve">Quelle: </w:t>
      </w:r>
      <w:r>
        <w:t>https://mcp.opencaselaw.ch/entscheid/ge_gerichte_ACJC_657_2026</w:t>
      </w:r>
    </w:p>
    <w:p>
      <w:r>
        <w:t>FR: GE_GERICHTE ACJC/657/2026 du 20 avril 2026</w:t>
      </w:r>
    </w:p>
    <w:p>
      <w:r>
        <w:t>IT: GE_GERICHTE ACJC/657/2026 del 20 aprile 2026</w:t>
      </w:r>
    </w:p>
    <w:p>
      <w:pPr>
        <w:pStyle w:val="Heading2"/>
      </w:pPr>
      <w:r>
        <w:t>Volltext</w:t>
      </w:r>
    </w:p>
    <w:p>
      <w:r>
        <w:t>Le présent arrêt est communiqué aux parties, par plis recommandés du 20 avril 2026</w:t>
      </w:r>
    </w:p>
    <w:p>
      <w:r>
        <w:t>REPUBLIQUE ET</w:t>
      </w:r>
    </w:p>
    <w:p>
      <w:r>
        <w:t>CANTON DE GENEVE POUVOIR JUDICIAIRE C/25799/2025 ACJC/657/2026 ARRÊT DE LA COUR DE JUSTICE Chambre civile DU LUNDI 20 AVRIL 2026</w:t>
      </w:r>
    </w:p>
    <w:p>
      <w:r>
        <w:t>Entre A______ SA, sise ______ [GE], recourante, représentée par Me Pascal PETROZ, avocat, De Boccard Associés SA, rue du Mont-Blanc 3, 1201 Genève, et B______ SA, sise ______ [GE], intimée, représentée par Me Olivier WEHRLI, avocat, Poncet Turrettini, rue de Hesse 8, case postale, 1211 Genève 4.</w:t>
      </w:r>
    </w:p>
    <w:p>
      <w:r>
        <w:t>- 2/4 -</w:t>
      </w:r>
    </w:p>
    <w:p>
      <w:r>
        <w:t>C/25799/2025 Attendu, EN FAIT, que, par jugement JTPI/3397/2026 du 2 mars 2026, le Tribunal de première instance a prononcé la mainlevée provisoire de l’opposition formée par A______ SA au commandement de payer poursuite n° 1______ notifié par B______ SA; Que, le 7 avril 2026, A______ SA a formé recours contre ce jugement, concluant à ce que la Cour de justice l’annule et déboute sa partie adverse de toutes ses conclusions; Qu’elle a conclu, à titre préalable, à la suspension du caractère exécutoire du jugement précité; qu'elle fait valoir qu'à défaut d'effet suspensif, la mainlevée provisoire devient définitive dans les vingt jours dès son prononcé; que l'intimée pourrait alors requérir la continuation de la poursuite, "avec comme préjudice irréparable une exécution forcée indue" des biens prétendument mis en gage; Que la partie intimée a conclu au rejet de la requête d'effet suspensif;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la partie recourante se contente d'alléguer qu'elle serait exposée à un préjudice irréparable en cas de continuation de la poursuite, sans produire aucune pièce ni fournir aucun élément concret à cet égard; Qu'en tout état, si elle estime ne pas devoir le montant en question à l'intimée, la recourante peut éviter la continuation de la poursuite en déposant une action en libération de dette; Qu'éviter au poursuivi de devoir déposer une action en libération de dette ne constitue pas, en lui-même, un motif suffisant pour suspendre l'effet exécutoire attaché à une décision de mainlevée (arrêt du Tribunal fédéral 5A_578/2016 du 1er septembre 2016, consid. 2.3);</w:t>
      </w:r>
    </w:p>
    <w:p>
      <w:r>
        <w:t>- 3/4 -</w:t>
      </w:r>
    </w:p>
    <w:p>
      <w:r>
        <w:t>C/25799/2025 Que si tel était le cas, l'effet suspensif devrait être systématiquement accordé à tout recours formé contre une décision prononçant la mainlevée, ce qui irait à l'encontre du système tel qu'il a été conçu par le législateur, qui n'a pas prévu d'exception au principe selon lequel le recours ne suspend pas le caractère exécutoire de la décision entreprise; Que la suspension de l'effet exécutoire du jugement litigieux sera par conséquent refusée; Qu'il sera statué sur les frais liés à la présente décision dans l'arrêt rendu sur le fond (art. 104 al. 3 CPC). * * * * *</w:t>
      </w:r>
    </w:p>
    <w:p>
      <w:r>
        <w:t>- 4/4 -</w:t>
      </w:r>
    </w:p>
    <w:p>
      <w:r>
        <w:t>C/25799/2025 PAR CES MOTIFS, La Chambre civile : Statuant sur requête de suspension de l'effet exécutoire du jugement entrepris : Rejette la requête de A______ SA tendant à la suspension de l'effet exécutoire attaché au jugement JTPI/3397/2026 rendu le 2 mars 2026 par le Tribunal de première instance dans la cause C/25799/2025. Dit qu'il sera statué sur les frais liés à la présente décision dans l'arrêt rendu sur le fond. Siégeant : Madame Fabienne GEISINGER-MARIETHOZ, présidente; Madame Mélanie DE RESENDE PEREIRA, greffière.</w:t>
      </w:r>
    </w:p>
    <w:p>
      <w:r>
        <w:t>La présidente : Fabienne GEISINGER-MARIETHOZ</w:t>
      </w:r>
    </w:p>
    <w:p>
      <w:r>
        <w:t>La greffière : Mélanie DE RESENDE PEREIRA</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