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ACJC/652/2016 vom 10. Mai 2016</w:t>
      </w:r>
    </w:p>
    <w:p>
      <w:r>
        <w:t>GE Cour de justice, 2016-05-10, FR</w:t>
      </w:r>
    </w:p>
    <w:p>
      <w:r>
        <w:rPr>
          <w:b/>
        </w:rPr>
        <w:t xml:space="preserve">Quelle: </w:t>
      </w:r>
      <w:r>
        <w:t>https://mcp.opencaselaw.ch/entscheid/ge_gerichte_ACJC_652_2016</w:t>
      </w:r>
    </w:p>
    <w:p>
      <w:r>
        <w:t>FR: GE_GERICHTE ACJC/652/2016 du 10 mai 2016</w:t>
      </w:r>
    </w:p>
    <w:p>
      <w:r>
        <w:t>IT: GE_GERICHTE ACJC/652/2016 del 10 maggio 2016</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BOHNET/HALDY/JEANDIN/SCHWEIZER/TAPPY [éd.], 2011, n. 4 et 11 ad art. 103 CPC).</w:t>
      </w:r>
    </w:p>
    <w:p>
      <w:r>
        <w:t>Interjeté dans le délai de dix jours (art. 142 al. 1 et 145 al. 1 let. c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Le recourant explique qu'il se trouve dans une situation difficile dès lors que, malgré le classement de la plainte pénale et du jugement de 2008, il fait à nouveau l'objet de poursuites injustifiées. Celles-ci l'ont décrédibilisé aux yeux de ses partenaires commerciaux potentiels et l'ont également atteint dans sa santé. Le travail induit par sa demande est facilité par l'existence des deux décisions précitées. Ses circonstances personnelles, le peu de complexité de la cause et l'équité commandent de ne requérir qu'une avance minimale, voire d'y renoncer. Il évoque également l'initiative parlementaire 09.530 intitulée "annulation des commandements de payer injustifiés". Enfin, en se référant aux directives internes du Tribunal pour la fixation de l'avance de frais, celui-ci a fait fi des particularités du cas d'espèce et procédé à une application mécanique des dispositions topiques.</w:t>
      </w:r>
    </w:p>
    <w:p>
      <w:r>
        <w:rPr>
          <w:b/>
        </w:rPr>
        <w:t>E. 2.1</w:t>
      </w:r>
    </w:p>
    <w:p>
      <w:r>
        <w:t>La valeur du litige est déterminée par les conclusions (art. 91 CPC). Selon l'art. 98 CPC (repris à l'art. 2 RTFMC), le Tribunal peut exiger du demandeur une avance à concurrence de la totalité des frais judiciaires présumés, lesquels comprennent, outre l'émolument forfaitaire de décision, notamment les frais d'administration des preuves et les éventuels frais de traduction. L'art. 17 RTFMC prévoit pour une valeur litigeuse entre 100'001 fr. et 1'000'000 fr. un émolument forfaitaire de décision compris entre 5'000 fr. et 30'000 fr., étant précisé que, lors de la fixation de cet émolument, il ne peut être procédé à un calcul proportionnel schématique, puisque la fixation de l'avance de frais doit</w:t>
      </w:r>
    </w:p>
    <w:p>
      <w:r>
        <w:t>- 4/6 -</w:t>
      </w:r>
    </w:p>
    <w:p>
      <w:r>
        <w:t>C/14067/2015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w:t>
      </w:r>
    </w:p>
    <w:p>
      <w:r>
        <w:t>Dès lors que l'avance doit couvrir les frais judiciaires présumés, elle est fixée, eu égard aux circonstances existant lors de l'introduction de l'action, au montant des frais forfaitaires prévisibles (arrêt du Tribunal fédéral 4A_226/2014 du 6 août 2014 consid. 2.1). La Cour a déjà eu l'occasion d'indiquer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ces derniers ne pouvant pas davantage s'en prévaloir (ACJC/777/2015 du 26 juin 2015; ACJC/204/2014 du 6 février 2014; ACJC/1660/2012 du 13 novembre 2012).</w:t>
      </w:r>
    </w:p>
    <w:p>
      <w:r>
        <w:rPr>
          <w:b/>
        </w:rPr>
        <w:t>E. 2.2</w:t>
      </w:r>
    </w:p>
    <w:p>
      <w:r>
        <w:t>En l'espèce, la Présidente du Tribunal a choisi d'utiliser la possibilité offerte par l'art. 98 CPC de requérir une avance de frais. Le recourant ne démontre pas en quoi, ce faisant, la Présidente du Tribunal aurait abusé de son pouvoir d'appréciation. Il ne peut donc être suivi en tant qu'il fait grief au premier juge de ne pas avoir renoncé à demander une avance de frais.</w:t>
      </w:r>
    </w:p>
    <w:p>
      <w:r>
        <w:rPr>
          <w:b/>
        </w:rPr>
        <w:t>E. 2.3</w:t>
      </w:r>
    </w:p>
    <w:p>
      <w:r>
        <w:t>Reste à examiner si le montant de l'avance est critiquable. L'objet du litige tend à la constatation de ce que les sommes figurant dans les commandements de payer notifiés au recourant, à savoir celles de 451'411 fr. 35, 451'411 fr. 65 et 300'000 fr., ne sont pas dues par le recourant et à la condamnation de l'intimé à lui verser 40'531 fr. Compte tenu du fait que les trois premiers montants se rapportent, à teneur de la demande, à une seule et même créance, à savoir le dommage qu'B______ allègue avoir subi du fait que ses montres ne lui auraient pas été restituées, il y a lieu, avec le recourant et la Présidente du Tribunal, de retenir que la valeur litigieuse s'élève à 340'531 fr. Au regard de cette valeur litigieuse, le montant de 20'000 fr. demeure dans la "fourchette" prévue à l'art. 17 RTFMC. Cela étant, ce montant ne tient pas suffisamment compte des circonstances particulières du cas d'espèce. Le recourant se trouve dans la situation – atypique – du demandeur devant se défendre de poursuites répétées qu'il estime injustifiées, d'une part. D'autre part, l'établissement des faits pertinents paraît, a priori, limité à l'instruction des circonstances ayant entouré la remise des montres litigieuses par B______ dans les locaux d'C______ SA. Cette instruction impliquera, outre l'échange d'écritures, l'audition des parties et de témoins ayant assisté à dite remise. Les questions juridiques à traiter, notamment celle de savoir si le recourant a engagé sa</w:t>
      </w:r>
    </w:p>
    <w:p>
      <w:r>
        <w:t>- 5/6 -</w:t>
      </w:r>
    </w:p>
    <w:p>
      <w:r>
        <w:t>C/14067/2015 responsabilité contractuelle ou extracontractuelle, présentent une difficulté pouvant être qualifiée de moyenne. Les décisions judiciaires déjà rendues ne comportent pas d'éléments susceptibles de faciliter le travail du Tribunal, dès lors que le jugement de 2009 a débouté le recourant de ses conclusions pour défaut de légitimation passive et que la décision de classement est succincte, se limitant à l'examen de la réalisation de la condition de l'astuce. Il n'en demeure pas moins que la difficulté de la cause et le travail prévisible qu'elle va induire ne semblent pas d'une ampleur particulière. Partant, l'avance de frais sera réduite à 11'000 fr.</w:t>
      </w:r>
    </w:p>
    <w:p>
      <w:r>
        <w:t>L'attention du recourant sera toutefois attirée sur le fait que si l'avance ainsi fixée devait, en cours de procédure, s'avérer insuffisante, le Tribunal pourrait être amené à requérir une avance complémentaire (art. 2 al. 2 RTFMC).</w:t>
      </w:r>
    </w:p>
    <w:p>
      <w:r>
        <w:t>Le délai initialement imparti au recourant pour s'acquitter de l'avance de frais étant échu, un nouveau délai lui sera imparti à cette fin.</w:t>
      </w:r>
    </w:p>
    <w:p>
      <w:r>
        <w:rPr>
          <w:b/>
        </w:rPr>
        <w:t>E. 3</w:t>
      </w:r>
    </w:p>
    <w:p>
      <w:r>
        <w:t>Le recourant n'obtient que partiellement gain de cause. Il n'y a donc pas lieu à l'allocation de dépens (art. 106 al. 1 CPC). Il sera, en revanche, à titre exceptionnel, renoncé à la perception de frais de recours (art. 7 al. 2 RTFMC). L'avance de 400 fr. versée par le recourant lui sera ainsi restituée.</w:t>
      </w:r>
    </w:p>
    <w:p>
      <w:r>
        <w:rPr>
          <w:b/>
        </w:rPr>
        <w:t>E. 4</w:t>
      </w:r>
    </w:p>
    <w:p>
      <w:r>
        <w:t>La présente décision est susceptible d'un recours en matière civile, les moyens étant cependant limités (art. 93 LTF; ATF 137 III 324 consid. 1.1; 134 I 83 consid. 3.1). * * * * *</w:t>
      </w:r>
    </w:p>
    <w:p>
      <w:r>
        <w:t>- 6/6 -</w:t>
      </w:r>
    </w:p>
    <w:p>
      <w:r>
        <w:t>C/14067/2015 PAR CES MOTIFS, La Chambre civile : A la forme : Déclare recevable le recours interjeté par A______ contre la décision DTPI/201/2016 rendue le 7 janvier 2016 par le Tribunal de première instance dans la cause C/14067/2015-TX. Au fond : Annule la décision précitée. Impartit à A______ un délai de 30 jours dès notification du présent arrêt pour s'acquitter de l'avance de frais de 11'000 fr. Sur les frais : Renonce à la perception de frais judiciaires de recours. Invite les Services financiers du Pouvoir judiciaire à restituer à A______ l'avance de frais de 400 fr. Siégeant : Madame Florence KRAUSKOPF, présidente; Madame Sylvie DROIN et Monsieur Ivo BUETTI,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