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ACJC/652/2014 vom 20. Januar 2014</w:t>
      </w:r>
    </w:p>
    <w:p>
      <w:r>
        <w:t>GE Cour de justice, 2014-01-20, FR</w:t>
      </w:r>
    </w:p>
    <w:p>
      <w:r>
        <w:rPr>
          <w:b/>
        </w:rPr>
        <w:t xml:space="preserve">Quelle: </w:t>
      </w:r>
      <w:r>
        <w:t>https://mcp.opencaselaw.ch/entscheid/ge_gerichte_ACJC_652_2014</w:t>
      </w:r>
    </w:p>
    <w:p>
      <w:r>
        <w:t>FR: GE_GERICHTE ACJC/652/2014 du 20 janvier 2014</w:t>
      </w:r>
    </w:p>
    <w:p>
      <w:r>
        <w:t>IT: GE_GERICHTE ACJC/652/2014 del 20 gennaio 2014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w:t>
      </w:r>
    </w:p>
    <w:p>
      <w:r>
        <w:t>- 4/7 -</w:t>
      </w:r>
    </w:p>
    <w:p>
      <w:r>
        <w:t>C/15525/2013</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La recourante fait valoir que le jugement qui ordonne le transfert de sa part de copropriété est exécutoire et que, conformément à l'art. 344 CPC, elle n'avait aucune autre démarche à effectuer pour que ledit transfert s'opère, lequel n'est pas encore effectif qu'en raison de l'inaction de l'intimé.</w:t>
      </w:r>
    </w:p>
    <w:p>
      <w:r>
        <w:rPr>
          <w:b/>
        </w:rPr>
        <w:t>E. 2.1</w:t>
      </w:r>
    </w:p>
    <w:p>
      <w:r>
        <w:t>Selon l'art. 80 al. 1 LP, le créancier qui est au bénéfice d'un jugement exécutoire peut requérir du juge la mainlevée définitive de l'opposition. Un jugement exécutoire ne justifie une mainlevée définitive que s'il contient une condamnation à verser une somme d'argent déterminée ou déterminable à la suite de vérifications simples (ATF 135 III 385 consid. 2.3; STAEHELIN, in Basler Kommentar, Bundesgesetz über Schuldbetreibung und Konkurs, 2ème éd., 2010, n. 38 ad art. 80 LP). Le juge saisi d'une requête de mainlevée définitive doit notamment vérifier si la créance en poursuite et résultant du jugement produit est exigible (P. STÜCHELI, Die Rechtsöffnung, Zurich 2000, p. 198; A. STAEHELIN, Bundesgesetz über Schuldbetreibung und Konkurs I, Basler Kommentar, 2ème éd.,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 Selon l'art. 344 CPC, lorsque la condamnation porte sur une déclaration de volonté, la décision tient lieu de déclaration dès qu'elle devient exécutoire (al. 1); lorsque la déclaration concerne une inscription dans un registre public, tel que le Registre foncier ou le Registre du commerce, le Tribunal qui a rendu la décision donne les instructions nécessaires à la personne chargée de tenir le registre (al. 2). Cette disposition vise notamment le cas de l'inscription d'un transfert au Registre foncier (Message relatif au code de procédure civile (CPC) du 28 juin 2006, FF</w:t>
      </w:r>
    </w:p>
    <w:p>
      <w:r>
        <w:t>- 5/7 -</w:t>
      </w:r>
    </w:p>
    <w:p>
      <w:r>
        <w:t>C/15525/2013 2006, p. 6993 ad art. 342 PCPC; cf. également ZINSLI, Basler Kommentar, Schweizerische Zivilprozessordnung, 2ème éd., 2013, n. 2 ad art. 344 CPC).</w:t>
      </w:r>
    </w:p>
    <w:p>
      <w:r>
        <w:rPr>
          <w:b/>
        </w:rPr>
        <w:t>E. 2.2</w:t>
      </w:r>
    </w:p>
    <w:p>
      <w:r>
        <w:t>En l'espèce, le jugement sur lequel la recourante fonde sa demande de mainlevée ordonne le transfert à l'intimé de la part de la recourante sur l'immeuble dont les parties sont copropriétaires sis sur deux parcelles de la Commune d'Hermance, ce transfert étant subordonné, notamment, au paiement par l'intimé d'une somme de 1'972'826 fr. 75 à la recourante. Même si à teneur de son dispositif, le jugement du 31 mars 2011 ne condamne pas expressément l'intimé à payer cette somme, cela ressort des considérants dudit jugement. Cette condamnation constitue la contreprestation du transfert de la propriété. Les deux prestations sont dans un rapport de simultanéité (Zug um Zug; cf. ATF 85 II 474 consid. 5 = JdT 1960 I 265). Dès lors, l'exécution du paiement du montant litigieux de l'intimé ne peut être réclamée que pour autant que le transfert de propriété a été opéré. La recourante fait valoir qu'elle n'avait pas à offrir de transférer sa part de propriété car ledit transfert doit s'opérer, en vertu de l'art. 344 CPC, sur la base du jugement qui l'ordonne, sans qu'aucune autre démarche ne doive être entreprise. Cela étant, peu importe, dans le cadre de la présente procédure de mainlevée, que le transfert aurait dû être inscrit sur la seule base du jugement du 31 mars 2011, étant relevé que ce dernier ne comporte aucune instruction au Conservateur du Registre foncier, comme le prévoit l'art. 344 al. 2 CPC. En effet, seul est déterminant le fait que le transfert de propriété n'a pas été effectué. La condition pour que la somme réclamée en poursuites soit exigible, selon le jugement sur lequel la recourante fonde sa requête de mainlevée définitive, fait dès lors défaut, ainsi que l'a considéré le Tribunal à bon droit. Le recours sera dès lors rejeté.</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fixé à 2'000 fr. Il sera mis à la charge de la recourante et sera compensé avec l'avance de frais du même montant opérée par celle-ci, acquise à l'Etat (art. 111 al. 1 CPC).</w:t>
      </w:r>
    </w:p>
    <w:p>
      <w:r>
        <w:t>- 6/7 -</w:t>
      </w:r>
    </w:p>
    <w:p>
      <w:r>
        <w:t>C/15525/2013 Elle versera également à l'intimé, assisté d'un conseil devant la Cour, des dépens arrêtés à 2'000 fr., débours et TVA compris (art. 96 et 105 al. 2 CPC; art. 85, 89 et 90 RTFMC). * * * * *</w:t>
      </w:r>
    </w:p>
    <w:p>
      <w:r>
        <w:t>- 7/7 -</w:t>
      </w:r>
    </w:p>
    <w:p>
      <w:r>
        <w:t>C/15525/2013 PAR CES MOTIFS, La Chambre civile : A la forme : Déclare recevable le recours interjeté par A______ contre le jugement JTPI/1005/2014 rendu le 20 janvier 2014 par le Tribunal de première instance dans la cause C/15525/2013-16 SML. Au fond : Rejette ce recours. Déboute les parties de toutes autres conclusions. Sur les frais : Arrête les frais judiciaires du recours à 2'000 fr. et les met à la charge de A______. Compense les frais judiciaires du recours avec l'avance de frais du même montant fournie par A______, qui reste acquise à l'Etat. Condamne A______ à verser à B______ la somme de 2'000 fr.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