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ACJC/651/2014 vom 17. Januar 2014</w:t>
      </w:r>
    </w:p>
    <w:p>
      <w:r>
        <w:t>GE Cour de justice, 2014-01-17, FR</w:t>
      </w:r>
    </w:p>
    <w:p>
      <w:r>
        <w:rPr>
          <w:b/>
        </w:rPr>
        <w:t xml:space="preserve">Quelle: </w:t>
      </w:r>
      <w:r>
        <w:t>https://mcp.opencaselaw.ch/entscheid/ge_gerichte_ACJC_651_2014</w:t>
      </w:r>
    </w:p>
    <w:p>
      <w:r>
        <w:t>FR: GE_GERICHTE ACJC/651/2014 du 17 janvier 2014</w:t>
      </w:r>
    </w:p>
    <w:p>
      <w:r>
        <w:t>IT: GE_GERICHTE ACJC/651/2014 del 17 gennaio 2014</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conforme aux art. 130 et 131 CPC, adressé à la Cour de justice.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w:t>
      </w:r>
    </w:p>
    <w:p>
      <w:r>
        <w:t>- 5/8 -</w:t>
      </w:r>
    </w:p>
    <w:p>
      <w:r>
        <w:t>C/15535/2013</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w:t>
      </w:r>
    </w:p>
    <w:p>
      <w:r>
        <w:rPr>
          <w:b/>
        </w:rPr>
        <w:t>E. 1.4</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Le recourant fait valoir, en substance, qu'il est subrogé aux droits de D______ en vertu de l'art. 110 ch. 1 CO.</w:t>
      </w:r>
    </w:p>
    <w:p>
      <w:r>
        <w:rPr>
          <w:b/>
        </w:rPr>
        <w:t>E. 2.1</w:t>
      </w:r>
    </w:p>
    <w:p>
      <w:r>
        <w:t>Le droit de la cédule hypothécaire a été modifié lors de la révision du 11 décembre 2009, entrée en vigueur le 1er janvier 2012 (RO 2011 4637 ss, p. 4657). Dès lors que les cédules hypothécaires ont en l'espèce été remises en garantie avant l'entrée en vigueur du nouveau droit, le présent recours sera examiné sous l'angle de l'ancien droit (art. 1 al. 1 et 26 al. 1 Tit. fin. CC; cf. PIOTET, Le droit transitoire de la révision du Code civil du 11 décembre 2009 et la pratique notariale, Le notaire bernois, 2010, p. 225 ss, p. 230; FOËX, Le nouveau droit des cédules hypothécaires, in JdT 2012 II 3 ss, p. 14).</w:t>
      </w:r>
    </w:p>
    <w:p>
      <w:r>
        <w:rPr>
          <w:b/>
        </w:rPr>
        <w:t>E. 2.1.1</w:t>
      </w:r>
    </w:p>
    <w:p>
      <w:r>
        <w:t>L'art. 827 CC permet au propriétaire qui n'est pas personnellement tenu de la dette hypothécaire de dégrever son immeuble aux mêmes conditions que celles faites au débiteur pour éteindre la créance (al. 1). Il est subrogé aux droits du créancier qu'il désintéresse (al. 2). Cette réglementation, qui concerne l'hypothèque, vaut aussi pour la cédule hypothécaire (art. 845 aCC = art. 844 nCC). L'art. 827 CC n'est qu'une application de l'art. 110 ch. 1 CO (arrêt du Tribunal fédéral 4C.15/2004 du 12 mai 2004 consid. 5.1), selon lequel le tiers qui paie le créancier est légalement subrogé, jusqu'à due concurrence, aux droits de ce dernier lorsqu'il dégrève une chose mise en gage pour la dette d'autrui et qu'il possède sur cette chose un droit de propriété ou un autre droit réel.</w:t>
      </w:r>
    </w:p>
    <w:p>
      <w:r>
        <w:rPr>
          <w:b/>
        </w:rPr>
        <w:t>E. 2.1.2</w:t>
      </w:r>
    </w:p>
    <w:p>
      <w:r>
        <w:t>Sous le droit antérieur à la révision du Code civil de 2009 (cf. supra consid. 2.1), comme sous le nouveau droit, la cédule hypothécaire est une créance personnelle garantie par un gage immobilier (art. 842a CC et art. 842 al. 1 CC; Message du Conseil fédéral du 27 juin 2007 concernant la révision du Code civil suisse (Cédule hypothécaire de registre et autres modifications des droits réels), FF 2007 p. 5015 ss, p. 5053 [ci-après: Message]). Il s'agit d'un papier-valeur qui incorpore à la fois la créance et le droit de gage immobilier, qui en est l'accessoire.</w:t>
      </w:r>
    </w:p>
    <w:p>
      <w:r>
        <w:t>- 6/8 -</w:t>
      </w:r>
    </w:p>
    <w:p>
      <w:r>
        <w:t>C/15535/2013 Lorsque le créancier a reçu la cédule hypothécaire comme propriétaire fiduciaire aux fins de garantie (garantie fiduciaire; Sicherungsübereignung), il n'y a pas novation de la créance garantie (ou causale ou de base; ATF 136 III 288 consid. 3.1; 134 III 71 consid. 3 et les références); la créance incorporée dans la cédule se juxtapose à la créance garantie en vue d'en faciliter le recouvrement (cf. ATF 119 III 105 consid. 2a in fine).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Le créancier est titulaire des deux créances (ATF 134 III 71 consid. 3; arrêt du Tribunal fédéral 5A_686/2013 du 31 janvier 2014 consid. 5.1.1 et les références citées). La créance abstraite, incorporée dans la cédule hypothécaire et garantie par gage immobilier, doit faire l'objet d'une poursuite en réalisation de gage immobilier, tandis que la créance causale doit faire l'objet d'une poursuite ordinaire (ATF 136 III 288 consid. 3.1; ATF 134 III 71 consid. 3 = JdT 2007 II 51; arrêts du Tribunal fédéral 5A_295/2012 du 9 octobre 2012 consid. 4.2, publié in SJ 2013 I 417; 4A_70/2013 du 28 mai 2013, publié in SJ 2014 I 65).</w:t>
      </w:r>
    </w:p>
    <w:p>
      <w:r>
        <w:rPr>
          <w:b/>
        </w:rPr>
        <w:t>E. 2.1.3</w:t>
      </w:r>
    </w:p>
    <w:p>
      <w:r>
        <w:t>A teneur de l'art. 165 al. 1 CO, la cession de créances n'est valable que si elle a été constatée par écrit. Cette exigence de forme est conçue dans l'intérêt de la sécurité du droit et des transactions commerciales; elle doit faire apparaître clairement à l'égard des tiers, notamment le débiteur cédé, quelles sont les créances qui ont été cédées et qui en est le titulaire (ATF 122 III 361 consid. 4c; arrêt du Tribunal fédéral 4A_616/2012 du 19 février 2013 consid. 5.2).</w:t>
      </w:r>
    </w:p>
    <w:p>
      <w:r>
        <w:rPr>
          <w:b/>
        </w:rPr>
        <w:t>E. 2.2</w:t>
      </w:r>
    </w:p>
    <w:p>
      <w:r>
        <w:t>En l'espèce, à la suite du versement de la somme de 1'347'257 fr. 80 et de la restitution des cédules au recourant, ce dernier a été subrogé dans les droits de D______ résultant des créances cédulaires (abstraites) incorporées dans les cédules. Ces créances sont toutefois indépendantes de la créance causale résultant du contrat de prêt entre D______ et l'intimé. Les cédules hypothécaires avaient été remises à D______ en pleine propriété, aux fins de garantie, et il n'y pas eu de novation de la créance causale résultant de la relation de base. Le recourant a invoqué, à titre de créance, dans le commandement de payer qu'il a fait notifier à l'intimé, le contrat de prêt du 29 mars 2007. Il ne résulte pas des titres produits à la procédure qu'une cession écrite entre D______ et le recourant de la créance résultant du contrat de prêt aurait eu lieu. Dès lors, le Tribunal a considéré à bon droit que le recourant ne disposait pas de titre de mainlevée provisoire. Le recours sera donc rejeté.</w:t>
      </w:r>
    </w:p>
    <w:p>
      <w:r>
        <w:t>- 7/8 -</w:t>
      </w:r>
    </w:p>
    <w:p>
      <w:r>
        <w:t>C/15535/2013</w:t>
      </w:r>
    </w:p>
    <w:p>
      <w:r>
        <w:rPr>
          <w:b/>
        </w:rPr>
        <w:t>E. 3</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1'500 fr. L'émolument de la présente décision sera fixé à 2'000 fr. Il sera mis à la charge du recourant et sera compensé avec l'avance de frais du même montant opérée par celui-ci, acquise à l'Etat (art. 111 al. 1 CPC). Il versera également à l'intimé, assisté d'un conseil devant la Cour, des dépens arrêtés à 500 fr., débours et TVA compris (art. 96 et 105 al. 2 CPC; art. 85, 89 et 90 RTFMC; art. 25 et 26 LaCC; art. 25 LTVA). * * * * *</w:t>
      </w:r>
    </w:p>
    <w:p>
      <w:r>
        <w:t>- 8/8 -</w:t>
      </w:r>
    </w:p>
    <w:p>
      <w:r>
        <w:t>C/15535/2013 PAR CES MOTIFS, La Chambre civile : A la forme : Déclare recevable le recours interjeté par A______ contre le jugement JTPI/875/2014 rendu le 17 janvier 2014 par le Tribunal de première instance dans la cause C/15535/2013-16 SML. Au fond : Rejette ce recours. Déboute les parties de toutes autres conclusions. Sur les frais du recours : Condamne A______ aux frais judiciaires du recours, fixés à 2'000 fr., lesquels sont intégralement compensés avec l'avance de frais du même montant déjà effectuée par lui, qui reste acquise à l'Etat de Genève. Condamne A______ à verser à B______ la somme de 500 fr.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