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ACJC/650/2021 vom 20. Mai 2021</w:t>
      </w:r>
    </w:p>
    <w:p>
      <w:r>
        <w:t>GE Cour de justice, 2021-05-20, FR</w:t>
      </w:r>
    </w:p>
    <w:p>
      <w:r>
        <w:rPr>
          <w:b/>
        </w:rPr>
        <w:t xml:space="preserve">Quelle: </w:t>
      </w:r>
      <w:r>
        <w:t>https://mcp.opencaselaw.ch/entscheid/ge_gerichte_ACJC_650_2021</w:t>
      </w:r>
    </w:p>
    <w:p>
      <w:r>
        <w:t>FR: GE_GERICHTE ACJC/650/2021 du 20 mai 2021</w:t>
      </w:r>
    </w:p>
    <w:p>
      <w:r>
        <w:t>IT: GE_GERICHTE ACJC/650/2021 del 20 maggio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art. 174 al. 1 LP),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alléguer des faits et présenter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w:t>
      </w:r>
    </w:p>
    <w:p>
      <w:r>
        <w:rPr>
          <w:b/>
        </w:rPr>
        <w:t>E. 2</w:t>
      </w:r>
    </w:p>
    <w:p>
      <w:r>
        <w:t>La recourante fait valoir que l'intimée ne dispose pas de la légitimation active dans la mesure où elle a été absorbée par la société B______ SA qui a repris l'ensemble de ses actifs et passifs selon un contrat de fusion du 9 décembre 2020, soit antérieurement au dépôt de sa requête de faillite.</w:t>
      </w:r>
    </w:p>
    <w:p>
      <w:r>
        <w:rPr>
          <w:b/>
        </w:rPr>
        <w:t>E. 2.1.1</w:t>
      </w:r>
    </w:p>
    <w:p>
      <w:r>
        <w:t>La loi fédérale sur la fusion, la scission, la transformation et le transfert de patrimoine (Loi sur la fusion, LFus; RS 221.301) confère aux inscriptions au Registre du commerce un effet constitutif de la modification des structures</w:t>
      </w:r>
    </w:p>
    <w:p>
      <w:r>
        <w:t>- 4/8 -</w:t>
      </w:r>
    </w:p>
    <w:p>
      <w:r>
        <w:t>C/24/2021 juridiques des entités par voie de transfert de patrimoine. Ainsi, selon l'art. 73 al. 2 LFus, le transfert de patrimoine déploie ses effets dès son inscription au Registre du commerce; à cette date, l'ensemble des actifs et passifs énumérés dans l'inventaire sont transférés de par la loi au sujet reprenant.</w:t>
      </w:r>
    </w:p>
    <w:p>
      <w:r>
        <w:t>Les effets du transfert de patrimoine consistent en une succession universelle partielle (AMSTUTZ/MABILLARD, in Commentaire romand, Code des obligations, 2ème éd. 2017, n. 411 s. ad Intro. LFus; VON DER CRONE ET AL., Das Fusionsgesetz, 2ème éd. 2017, p. 402 n. 886 et p. 453 n. 997). La fusion a pour conséquence la substitution de parties (art. 83 al. 4 in fine CPC), laquelle intervient automatiquement (arrêt du Tribunal fédéral 5A_256/2016 du 9 juin 2017, consid. 3.2, non publié in ATF 143 III 297).</w:t>
      </w:r>
    </w:p>
    <w:p>
      <w:r>
        <w:rPr>
          <w:b/>
        </w:rPr>
        <w:t>E. 2.2</w:t>
      </w:r>
    </w:p>
    <w:p>
      <w:r>
        <w:t>En l'espèce, B______ SA ayant repris les actifs et passifs de C______ SA selon une inscription au Registre du commerce postérieure au dépôt de la requête de faillite, il y a eu une substitution de partie.</w:t>
      </w:r>
    </w:p>
    <w:p>
      <w:r>
        <w:t>Celle-ci intervenant automatiquement, la désignation de l'intimée sera rectifiée d'office.</w:t>
      </w:r>
    </w:p>
    <w:p>
      <w:r>
        <w:rPr>
          <w:b/>
        </w:rPr>
        <w:t>E. 3</w:t>
      </w:r>
    </w:p>
    <w:p>
      <w:r>
        <w:t>La recourante soutient avoir payé sa dette, produisant à cet égard une quittance de l'Office des poursuites, et être solvable. Elle explique qu'alors que ses revenus étaient assurés essentiellement par un seul client, elle en avait plusieurs depuis 2020, ce qui avait eu un effet sur ses résultats puisqu'elle avait subi une perte de 104'684 fr. en 2019 mais qu'au 30 septembre 2020, son bénéfice était de 47'250 fr. Elle avait par ailleurs réduit ses charges de 23%, passant de 979'582 fr. en 2019 à 564'971 fr. au 30 septembre 2020.</w:t>
      </w:r>
    </w:p>
    <w:p>
      <w:r>
        <w:rPr>
          <w:b/>
        </w:rPr>
        <w:t>E. 3.1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w:t>
      </w:r>
    </w:p>
    <w:p>
      <w:r>
        <w:t>Le poursuivi doit rendre vraisemblable sa solvabilité, en produisant des titres immédiatement disponibles.</w:t>
      </w:r>
    </w:p>
    <w:p>
      <w:r>
        <w:t>En principe, s'avère insolvable le débiteur qui, par exemple, laisse des comminations de faillite s'accumuler, fait systématiquement opposition et ne paie</w:t>
      </w:r>
    </w:p>
    <w:p>
      <w:r>
        <w:t>- 5/8 -</w:t>
      </w:r>
    </w:p>
    <w:p>
      <w:r>
        <w:t>C/24/2021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t>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w:t>
      </w:r>
    </w:p>
    <w:p>
      <w:r>
        <w:rPr>
          <w:b/>
        </w:rPr>
        <w:t>E. 3.2</w:t>
      </w:r>
    </w:p>
    <w:p>
      <w:r>
        <w:t>En l'espèce, la recourante a soldé la dette pour laquelle elle était poursuivie. La première condition de l'art. 174 al. 1 LP est dès lors remplie.</w:t>
      </w:r>
    </w:p>
    <w:p>
      <w:r>
        <w:t>En outre, elle a allégué et rendu suffisamment vraisemblable avoir soldé plusieurs poursuites et s'être acquittée récemment d'un montant total important de 149'784 fr., ce qui tend à rendre vraisemblable qu'elle dispose d'une certaine capacité financière. Les poursuites dont elle fait l'objet ont été intentées à partir du 16 janvier 2019, de sorte que ses problèmes financiers sont récents et n'apparaissent pas récurrents. La recourante a par ailleurs allégué et, en l'état, à défaut d'élément permettant de retenir le contraire, rendu vraisemblable, qu'elle a pris des mesures afin de diversifier sa clientèle, la rendant ainsi moins dépendante d'un seul client qui représentait plus de la moitié de ses revenus en 2018 et elle a désormais 19 clients. Elle a également pris des mesures afin de réduire ses charges de près d'un quart. Ces mesures ont vraisemblablement eu pour effet qu'alors qu'elle avait subi des pertes en 2019 de 104'684 fr., elle a engrangé un bénéfice de 47'250 fr. au 30 septembre 2020, selon les comptes produits.</w:t>
      </w:r>
    </w:p>
    <w:p>
      <w:r>
        <w:t>- 6/8 -</w:t>
      </w:r>
    </w:p>
    <w:p>
      <w:r>
        <w:t>C/24/2021 Ainsi, au vu des explications fournies, qui ne sont réfutées par aucun élément figurant à la procédure, il sera considéré que, même si certaines incertitudes demeurent sur les effets à plus long terme des mesures prises par la recourante et si certains éléments pourraient permettre de douter de la solvabilité de celle-ci, la recourante a rendu suffisamment vraisemblable, en l'état, que sa solvabilité est plus probable que son insolvabilité et que sa viabilité ne peut être déniée d'emblée. Le recours sera dès lors admis et la requête de faillite rejetée. 4. Le paiement de la dette n'ayant été effectué qu'au moment du dépôt du recours, les frais judiciaires de première instance, arrêtés à 200 fr. (montant payé par la recourante lorsqu'elle a soldé la poursuite), et ceux de recours, arrêtés à 220 fr., seront mis à la charge de la recourante et compensés avec les avances fournies, qui restent acquises à l'Etat de Genève. Pour les mêmes motifs, la recourante supportera ses propres dépens de recours (art. 107 al. 1 let. f CPC). L'intimée a par ailleurs comparu en personne devant le Tribunal et n'a pas répondu au recours, de sorte qu'il ne se justifie pas de lui allouer des dépens. * * * * *</w:t>
      </w:r>
    </w:p>
    <w:p>
      <w:r>
        <w:t>- 7/8 -</w:t>
      </w:r>
    </w:p>
    <w:p>
      <w:r>
        <w:t>C/24/2021 PAR CES MOTIFS, La Chambre civile : A la forme : Déclare recevable le recours interjeté par A______ SA contre le jugement JTPI/2938/2021 rendu le 4 mars 2021 par le Tribunal de première instance dans la cause C/24/2021-1 SFC. Préalablement : Rectifie la qualité de C______ SA en B______ SA. Au fond : Annule le jugement attaqué et, cela fait, statuant à nouveau : Rejette la requête formée par B______ SA dans la cause C/24/2021-1 SFC. Arrête les frais judiciaires de première instance à 200 fr., les met à la charge de A______ SA et les compense avec l'avance fournie, qui reste acquise à l'Etat de Genève. Dit qu'il n'est pas alloué de dépens de première instance. Sur les frais : Arrête les frais judicaires de recours à 220 fr., les met à la charge de A______ SA et les compense avec l'avance fournie, qui reste acquise à l'Etat de Genève. Dit qu'il n'est pas alloué de dépens de recours. Siégeant : Monsieur Laurent RIEBEN, président; Madame Sylvie DROIN, Madame Fabienne GEISINGER-MARIETHOZ, juges; Madame Laura SESSA, greffière.</w:t>
      </w:r>
    </w:p>
    <w:p>
      <w:r>
        <w:t>Le président : Laurent RIEBEN</w:t>
      </w:r>
    </w:p>
    <w:p>
      <w:r>
        <w:t>La greffière : Laura SESSA</w:t>
      </w:r>
    </w:p>
    <w:p>
      <w:r>
        <w:t>- 8/8 -</w:t>
      </w:r>
    </w:p>
    <w:p>
      <w:r>
        <w:t>C/24/2021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mai 1991 concernant la révision de la loi fédérale sur la poursuite pour dettes et la faillite, FF 1991 III p. 130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