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ACJC/650/2019 vom 28. Mai 2019</w:t>
      </w:r>
    </w:p>
    <w:p>
      <w:r>
        <w:t>GE Cour de justice, 2019-05-28, FR</w:t>
      </w:r>
    </w:p>
    <w:p>
      <w:r>
        <w:rPr>
          <w:b/>
        </w:rPr>
        <w:t xml:space="preserve">Quelle: </w:t>
      </w:r>
      <w:r>
        <w:t>https://mcp.opencaselaw.ch/entscheid/ge_gerichte_ACJC_650_2019</w:t>
      </w:r>
    </w:p>
    <w:p>
      <w:r>
        <w:t>FR: GE_GERICHTE ACJC/650/2019 du 28 mai 2019</w:t>
      </w:r>
    </w:p>
    <w:p>
      <w:r>
        <w:t>IT: GE_GERICHTE ACJC/650/2019 del 28 maggio 2019</w:t>
      </w:r>
    </w:p>
    <w:p>
      <w:pPr>
        <w:pStyle w:val="Heading2"/>
      </w:pPr>
      <w:r>
        <w:t>Erwägungen</w:t>
      </w:r>
    </w:p>
    <w:p>
      <w:r>
        <w:rPr>
          <w:b/>
        </w:rPr>
        <w:t>E. 1.1</w:t>
      </w:r>
    </w:p>
    <w:p>
      <w:r>
        <w:t>L'appel est recevable contre les décisions finales de première instance (art. 308 al. 1 let. a CPC). Dans les affaires patrimoniales, l'appel est recevable si la valeur litigieuse au dernier état des conclusions est de 10'000 fr. au moins (art. 308 al. 2 CPC).</w:t>
      </w:r>
    </w:p>
    <w:p>
      <w:r>
        <w:t>La partie adverse peut former un appel joint dans la réponse (art. 313 al. 2 CPC).</w:t>
      </w:r>
    </w:p>
    <w:p>
      <w:r>
        <w:t>- 8/19 -</w:t>
      </w:r>
    </w:p>
    <w:p>
      <w:r>
        <w:t>C/6510/2017</w:t>
      </w:r>
    </w:p>
    <w:p>
      <w:r>
        <w:t>En l'espèce, le litige porte sur une contribution mensuelle d'entretien post-divorce dont le montant capitalisé dépasse 10'000 fr. (art. 92 CPC), de sorte que la voie de l'appel est ouverte.</w:t>
      </w:r>
    </w:p>
    <w:p>
      <w:r>
        <w:t>Formés dans les délais utiles et selon la forme prescrite par la loi (art. 130, 131, 142, 308 al. 1 let. a et 311 al. 1 CPC), l'appel et l'appel joint sont recevables.</w:t>
      </w:r>
    </w:p>
    <w:p>
      <w:r>
        <w:t>Par mesure de simplification, A______ sera désignée ci-après comme l'appelante et B______ comme l'intimé.</w:t>
      </w:r>
    </w:p>
    <w:p>
      <w:r>
        <w:rPr>
          <w:b/>
        </w:rPr>
        <w:t>E. 1.2</w:t>
      </w:r>
    </w:p>
    <w:p>
      <w:r>
        <w:t>La Cour revoit la cause avec un plein pouvoir d'examen (art. 310 CPC).</w:t>
      </w:r>
    </w:p>
    <w:p>
      <w:r>
        <w:t>Les maximes de disposition (art. 58 al. 1 CPC; ATF 128 III 411 consid. 3.2.2) et des débats (art. 55 al. 1 et 277 CPC) sont applicables s'agissant de la contribution d'entretien en faveur de l'un des époux (arrêts du Tribunal fédéral 5A_831/2016 du 21 mars 2017 consid. 4.4 et 5A_757/2013 du 14 juillet 2014 consid. 2.1).</w:t>
      </w:r>
    </w:p>
    <w:p>
      <w:r>
        <w:rPr>
          <w:b/>
        </w:rPr>
        <w:t>E. 2</w:t>
      </w:r>
    </w:p>
    <w:p>
      <w:r>
        <w:t>Les parties ont produit de nouvelles pièces devant la Cour et l'intimé a allégué des faits nouveaux. Le 8 novembre 2018, l'appelante a également adressé une écriture spontanée et des pièces complémentaires à la Cour.</w:t>
      </w:r>
    </w:p>
    <w:p>
      <w:r>
        <w:rPr>
          <w:b/>
        </w:rPr>
        <w:t>E. 2.1</w:t>
      </w:r>
    </w:p>
    <w:p>
      <w:r>
        <w:t>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w:t>
      </w:r>
    </w:p>
    <w:p>
      <w:r>
        <w:t>La première condition concerne indistinctement les vrais et les faux nova tandis que la seconde ne s'applique, par définition, qu'aux faux nova (arrêt du Tribunal fédéral 5A_456/2016 du 28 octobre 2016 consid. 4.1; JEANDIN, in CR CPC, 2ème éd. 2019, n. 8 ad art. 317 CPC). La partie à l'instance d'appel qui entend se prévaloir de faits ou de moyens de preuve nouveaux doit le faire dès que possible, ce qui la plupart du temps coïncidera avec l'introduction du mémoire d'appel, respectivement le dépôt de la réponse ou de la réponse à l'appel joint. Si la connaissance de ces faits survient postérieurement à ces échanges d'écritures, il incombera à la partie concernée d'intervenir auprès de l'instance d'appel au plus vite dans la phase des débats (JEANDIN, op. cit., n. 7 ad art. 317 CPC), étant précisé que l'exigence d'une invocation sans retard ne permet pas de laisser s'écouler plus de quelques semaines (TAPPY, in CR CPC, 2ème éd. 2019, n. 9 ad art. 229 CPC). Dès le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w:t>
      </w:r>
    </w:p>
    <w:p>
      <w:r>
        <w:t>- 9/19 -</w:t>
      </w:r>
    </w:p>
    <w:p>
      <w:r>
        <w:t>C/6510/2017 (ATF 142 III 413 consid. 2.2.3 à 2.2.6; arrêts du Tribunal fédéral 5A_478/2016 du 10 mars 2017 consid. 4.2.2; 5A_456/2016 du 28 octobre 2016 consid. 4.1.2; 5A_22/2014 du 13 mai 2014 consid. 4.3).</w:t>
      </w:r>
    </w:p>
    <w:p>
      <w:r>
        <w:rPr>
          <w:b/>
        </w:rPr>
        <w:t>E. 2.2.1</w:t>
      </w:r>
    </w:p>
    <w:p>
      <w:r>
        <w:t>En l'espèce, la pièce 91 nouvellement produite par l'appelante n'est pas pertinente pour l'issue du litige, de sorte que la question de sa recevabilité peut rester ouverte. Les pièces 95 à 97 de l'appelante, relatives à des traitements médicaux prodigués à C______, D______ et E______ postérieurement au jugement de première instance, sont recevables pour avoir été produites le 23 octobre 2018, suite aux faits nouveaux invoqués par l'intimé le 17 septembre 2018. En revanche, les pièces 92 à 94, produites par l'appelante avec sa duplique et concernant des traitements médicaux qui lui ont été dispensés en mars et avril 2018 sont irrecevables : en effet, l'appelante n'explique pas en quoi elle aurait été dans l'impossibilité de les produire plus tôt, avec son appel ou sa réponse à l'appel joint, de sorte qu'elles ont été invoquées tardivement.</w:t>
      </w:r>
    </w:p>
    <w:p>
      <w:r>
        <w:t>L'écriture spontanée de l'appelante du 8 novembre 2008 est également irrecevable pour avoir été déposée après que la Cour a gardé la cause à juger. Il en va de même des pièces nouvelles produites à cette occasion.</w:t>
      </w:r>
    </w:p>
    <w:p>
      <w:r>
        <w:rPr>
          <w:b/>
        </w:rPr>
        <w:t>E. 2.2.2</w:t>
      </w:r>
    </w:p>
    <w:p>
      <w:r>
        <w:t>Bien que dénuées de pertinence, les pièces C, D et E nouvellement produites par l'intimé sont recevables, dès lors qu'elles sont datées du mois d'août 2018 et qu'elles ont été produites avec la réplique du 23 août 2018. Les faits nouveaux allégués par l'intimé en lien avec les charges de loyer et d'animal domestique de l'appelante sont recevables, de même que la pièce qui s'y rapporte (pièce F) : ils sont en effet postérieurs au prononcé du jugement de première instance et l'intimé s'en est prévalu dès que ces circonstances ont été portées à sa connaissance par l'appelante, soit à une date postérieure au dépôt de sa réplique. A l'inverse, les allégués "nouveaux" de l'intimé en relation avec le coût des abonnements TPG de son ex-épouse et de leurs filles mineures auraient pu - et dû - être invoqués devant le premier juge, de sorte qu'ils sont irrecevables, de même que la pièce G s'y rapportant. Ils sont quoiqu'il en soit sans pertinence pour l'issue du litige.</w:t>
      </w:r>
    </w:p>
    <w:p>
      <w:r>
        <w:rPr>
          <w:b/>
        </w:rPr>
        <w:t>E. 3</w:t>
      </w:r>
    </w:p>
    <w:p>
      <w:r>
        <w:t>Les parties ne contestent pas le principe de l'octroi d'une contribution d'entretien post-divorce en faveur de l'appelante. En revanche, elles ne s'entendent pas sur sa quotité et sur sa durée.</w:t>
      </w:r>
    </w:p>
    <w:p>
      <w:r>
        <w:rPr>
          <w:b/>
        </w:rPr>
        <w:t>E. 3.1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w:t>
      </w:r>
    </w:p>
    <w:p>
      <w:r>
        <w:t>- 10/19 -</w:t>
      </w:r>
    </w:p>
    <w:p>
      <w:r>
        <w:t>C/6510/2017 l'obligation d'entretien doit être fixée en tenant compte des éléments énumérés de façon non exhaustive à l'art. 125 al. 2 CC (ATF 138 III 289 consid. 11.1; 137 III 102 consid. 4.1.1 et la référence). La détermination de la contribution d'entretien relève du pouvoir d'appréciation du juge du fait, qui applique les règles du droit et de l'équité (art. 4 CC; ATF 134 III 577 consid. 4; 127 III 136 consid. 3a; arrêts du Tribunal fédéral 5A_61/2015 du 20 mai 2015 consid. 4.2.1.1; 5A_96/2017 du 20 juillet 2017 consid. 5.1).</w:t>
      </w:r>
    </w:p>
    <w:p>
      <w:r>
        <w:t>Une contribution d'entretien est due en vertu du principe de la solidarité si le mariage a eu une influence concrète sur les conditions d'existence de l'époux, en d'autres termes si le mariage a créé pour celui-ci - pour quelque motif que ce soit - une position de confiance qui ne saurait être déçue même en cas de divorce (ATF 137 III 102 consid. 4.1.2; arrêts du Tribunal fédéral 5A_172/2018 du 23 août 2018 consid. 3.2; 5A_96/2017 du 20 juillet 2017 consid. 5.1). Un mariage qui a concrètement influencé la situation financière des époux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134 III 145 consid. 4).</w:t>
      </w:r>
    </w:p>
    <w:p>
      <w:r>
        <w:rPr>
          <w:b/>
        </w:rPr>
        <w:t>E. 3.2</w:t>
      </w:r>
    </w:p>
    <w:p>
      <w:r>
        <w:t>Si le principe d'une contribution d'entretien post-divorce est admis, il convient de procéder en trois étapes pour en arrêter la quotité (ATF 137 III 102 consid. 4.2 et les références citées; 134 III 145 consid. 4; 134 III 577 consid. 3).</w:t>
      </w:r>
    </w:p>
    <w:p>
      <w:r>
        <w:rPr>
          <w:b/>
        </w:rPr>
        <w:t>E. 3.2.1</w:t>
      </w:r>
    </w:p>
    <w:p>
      <w:r>
        <w:t>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134 III 145 précité; 132 III 593 consid. 3.2).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Ce n'est que lorsque le divorce est prononcé après une longue séparation, à savoir une dizaine d'années, que la situation de l'époux bénéficiaire durant cette période est en principe déterminante (ATF 137 III 102 consid. 4.2.1.1; 132 III 598 consid. 9.3).</w:t>
      </w:r>
    </w:p>
    <w:p>
      <w:r>
        <w:t>Lorsqu'il est établi que les époux ne réalisaient pas d'économies durant le mariage, ou que l'époux débiteur ne démontre pas qu'ils ont réellement fait des économies,</w:t>
      </w:r>
    </w:p>
    <w:p>
      <w:r>
        <w:t>- 11/19 -</w:t>
      </w:r>
    </w:p>
    <w:p>
      <w:r>
        <w:t>C/6510/2017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137 III 102 consid. 4.2.1.1;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à chacun des conjoints (ATF 140 III 485 consid. 3.3; 137 III 102 consid. 4.2.1.1; arrêts du Tribunal fédéral 5A_61/2015 du 20 mai 2015 consid. 4.2.1.1; 5A_795/2010 du 4 février 2011 consid. 4.3.2; BASTONS BULLETTI, L'entretien après le divorce : méthodes de calcul, montant, durées et limites, in SJ 2007 II, p. 77 ss, p. 91 et 92).</w:t>
      </w:r>
    </w:p>
    <w:p>
      <w:r>
        <w:rPr>
          <w:b/>
        </w:rPr>
        <w:t>E. 3.2.2</w:t>
      </w:r>
    </w:p>
    <w:p>
      <w:r>
        <w:t>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(ATF 137 III 102 consid. 4.2.2.2 et les références). Pour arrêter le montant du salaire, le juge peut éventuellement se baser sur l'enquête suisse sur la structure des salaires, réalisée par l'Office fédéral de la statistique, ou sur d'autres sources comme les conventions collectives de travail (ATF 137 III 118 consid. 3.2; arrêt du Tribunal fédéral 5A_782/2016 du 31 mai 2017 consid. 5.3).</w:t>
      </w:r>
    </w:p>
    <w:p>
      <w:r>
        <w:t>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(ibidem). La présomption peut être renversée, en fonction d'autres éléments qui plaideraient en faveur de la prise ou de l'augmentation d'une activité lucrative (ATF 137 III 102 consid. 4.2.2.2; arrêts du Tribunal fédéral 5A_97/2017 du 23 août 2017 consid. 7.1.2.1; 5A_308/2016 du 7 octobre 2016 consid. 4.1). La limite d'âge tend à être augmentée à 50 ans (arrêt du Tribunal fédéral 5A_206/2010 du 21 juin 2010 consid. 5.3.2 et les arrêts cités).</w:t>
      </w:r>
    </w:p>
    <w:p>
      <w:r>
        <w:t>- 12/19 -</w:t>
      </w:r>
    </w:p>
    <w:p>
      <w:r>
        <w:t>C/6510/2017 La capacité de pourvoir soi-même à son entretien est susceptible d'être limitée totalement ou partiellement par la charge que représente la garde des enfants. La jurisprudence jusqu'ici bien établie du Tribunal fédéral prévoyait qu'en principe, il ne pouvait être exigé d'un époux la prise ou la reprise d'une activité lucrative à un taux de 50% avant que le plus jeune des enfants dont il avait la garde ait atteint l'âge de 10 ans révolus et de 100% avant qu'il ait atteint l'âge de 16 ans révolus. Ces lignes directrices n'étaient toutefois pas des règles strictes et leur application dépendait du cas concret. Ainsi, une activité lucrative apparaissait exigible lorsqu'elle avait déjà été exercée durant la vie conjugale ou si l'enfant était gardé par un tiers, de sorte que le détenteur de la garde n'était pas empêché de travailler pour cette raison; en revanche, la reprise d'une activité lucrative ne pouvait raisonnablement être exigée lorsqu'un époux avait la charge d'un enfant handicapé ou lorsqu'il avait beaucoup d'enfants. Le juge du fait tenait donc compte de ces lignes directrices dans l'exercice de son large pouvoir d'appréciation (ATF 137 III 102 consid. 4.2.2.2 et les arrêts cités). Dans un récent arrêt de principe, le Tribunal fédéral a modifié sa jurisprudence à ce sujet. S'il a confirmé qu'en règle générale, 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(ATF 144 III 48 consid. 4.7.6). Cela étant, comme jusqu'à présent, dans les cas où les parents pratiquaient une répartition "classique" des rôles avant la dissolution du ménage commun, il pourra s'avérer plus adéquat de laisser le parent qui s'occupait principalement des enfants continuer de le faire pendant un certain temps (principe de la continuité), mais le partage des tâches pratiqué avant la séparation ne saurait être perpétué indéfiniment (ATF 144 III 48 consid. 4.5 et 4.6). Si le juge entend exiger d'une partie la prise ou la reprise d'une activité lucrative, ou encore l'extension de celle-ci, lui imposant ainsi un changement de ses conditions de vie, il doit généralement lui accorder un délai approprié pour s'adapter à sa nouvelle situation et retrouver un emploi, délai qui doit être fixé en fonction des circonstances concrètes du cas particulier (ATF 129 III 417 consid. 2.2; arrêts du Tribunal fédéral 5A_782/2016 du 31 mai 2017 consid. 5.3; 5A_251/2016 du 15 août 2016 consid. 2.2.1).</w:t>
      </w:r>
    </w:p>
    <w:p>
      <w:r>
        <w:rPr>
          <w:b/>
        </w:rPr>
        <w:t>E. 3.2.3</w:t>
      </w:r>
    </w:p>
    <w:p>
      <w:r>
        <w:t>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celle-ci se fonde sur le principe de la solidarité (ATF 134 III 145 consid. 4 et les arrêts cités).</w:t>
      </w:r>
    </w:p>
    <w:p>
      <w:r>
        <w:t>- 13/19 -</w:t>
      </w:r>
    </w:p>
    <w:p>
      <w:r>
        <w:t>C/6510/2017</w:t>
      </w:r>
    </w:p>
    <w:p>
      <w:r>
        <w:rPr>
          <w:b/>
        </w:rPr>
        <w:t>E. 3.3.1</w:t>
      </w:r>
    </w:p>
    <w:p>
      <w:r>
        <w:t>Pour fixer la durée de la contribution d'entretien, le juge doit tenir compte de l'ensemble des critères énumérés non exhaustivement à l'art. 125 al. 2 CC (ATF 132 III 598 consid. 9.1; arrêt du Tribunal fédéral 5C_100/2005 du 22 décembre 2005 consid. 2), notamment des expectatives de l'assurance- vieillesse et de la prévoyance professionnelle ou d'autres formes de prévoyance. En pratique, l'obligation est souvent fixée jusqu'au jour où le débiteur de l'entretien atteint l'âge de l'AVS. Il n'est toutefois pas exclu d'allouer une rente sans limitation de durée (ATF 132 III 593 consid. 7.2), en particulier lorsque l'amélioration de la situation financière du crédirentier n'apparaît pas envisageable et que les moyens du débirentier le permettent (arrêts du Tribunal fédéral 5A_442/2014 du 27 août 2014 consid. 3.4.1; 5A_748/2012 du 15 mai 2013 consid. 6.3.3).</w:t>
      </w:r>
    </w:p>
    <w:p>
      <w:r>
        <w:t>Dans le cadre d'une procédure de divorce, le Tribunal fédéral a confirmé que le fait que le débirentier ait prévu, de longue date, de prendre une retraite anticipée, comme il serait d'usage dans sa profession, ne changeait rien, eu égard aux besoins de l'épouse, à l'existence de son obligation d'entretien, qu'il ne pouvait réduire de son propre mouvement. Il pouvait ainsi être exigé de lui qu'il renonce à prendre une retraite anticipée (arrêt du Tribunal fédéral 5A_117/2015 du</w:t>
      </w:r>
    </w:p>
    <w:p>
      <w:r>
        <w:rPr>
          <w:b/>
        </w:rPr>
        <w:t>E. 3.3.2</w:t>
      </w:r>
    </w:p>
    <w:p>
      <w:r>
        <w:t>Le juge du divorce détermine le moment à partir duquel la contribution d'entretien doit être versée en faveur du conjoint. Celle-ci prend en principe effet à l'entrée en force du jugement de divorce, sauf si le juge en fixe, selon son appréciation, le dies a quo à un autre moment (ATF 142 III 193 consid. 5.3).</w:t>
      </w:r>
    </w:p>
    <w:p>
      <w:r>
        <w:rPr>
          <w:b/>
        </w:rPr>
        <w:t>E. 3.4</w:t>
      </w:r>
    </w:p>
    <w:p>
      <w:r>
        <w:t>En l'espèce, l'appelante reproche au Tribunal de lui avoir imputé un revenu hypothétique à un taux d'activité de 100% dès le 1er août 2023. Selon elle, le fait de n'avoir jamais travaillé comme ______, seule activité pour laquelle elle dispose d'une formation, de même que son absence d'expérience professionnelle et son âge rendent illusoire la reprise d'une activité à temps plein à moyen terme. Elle fait également grief au premier juge de ne pas avoir correctement arrêté la limite de l'entretien convenable, en sous-évaluant ses charges actuelles (qu'elle estime à plus de 3'600 fr. hors impôts) et ses besoins futurs (qu'elle estime entre 4'300 fr. et 4'500 fr. par mois) et en ne tenant pas compte des soins et de l'éducation qu'elle continue à prodiguer en nature à ses filles mineures. En outre, le Tribunal avait tenu compte, à tort, de la possibilité pour l'intimé de prendre sa retraite anticipée, alors que celui-ci n'avait ni allégué ni démontré devoir mettre un terme à son activité professionnelle avant d'atteindre l'âge légal de la retraite. De son côté, l'intimé reproche au Tribunal de ne pas avoir limité la durée de la contribution d'entretien post-divorce à une année dès l'entrée en force du jugement</w:t>
      </w:r>
    </w:p>
    <w:p>
      <w:r>
        <w:t>- 14/19 -</w:t>
      </w:r>
    </w:p>
    <w:p>
      <w:r>
        <w:t>C/6510/2017 entrepris, dès lors que l'appelante était, selon lui, en mesure de travailler à 100% dès l'année 2019, les cadettes de la fratrie étant âgées de presque 15 ans.</w:t>
      </w:r>
    </w:p>
    <w:p>
      <w:r>
        <w:rPr>
          <w:b/>
        </w:rPr>
        <w:t>E. 3.4.1</w:t>
      </w:r>
    </w:p>
    <w:p>
      <w:r>
        <w:t>A juste titre, les parties ne remettent pas en cause le fait que le mariage a eu une influence concrète sur les conditions d'existence de l'appelante, tant au regard de sa durée (plus de 19 ans de vie commune), que de la renonciation par celle-ci à exercer une activité professionnelle afin de se consacrer aux enfants et à la tenue du ménage, selon la répartition des tâches qu'elles ont adoptées dès la célébration de leur union.</w:t>
      </w:r>
    </w:p>
    <w:p>
      <w:r>
        <w:t>Les parties n'ont pas produit de pièces permettant de déterminer quel était leur train de vie durant le mariage ni allégué avoir accumulé des économies durant la vie commune. En outre, les parties s'étant séparées, elles ont créé deux ménages distincts, impliquant de nouvelles charges. Par conséquent, il convient d'établir leurs revenus et charges respectifs, étant relevé que les parties n'ont pas contesté la méthode du minimum vital élargi retenue par le premier juge pour calculer la contribution d'entretien due à l'appelante.</w:t>
      </w:r>
    </w:p>
    <w:p>
      <w:r>
        <w:rPr>
          <w:b/>
        </w:rPr>
        <w:t>E. 3.4.2</w:t>
      </w:r>
    </w:p>
    <w:p>
      <w:r>
        <w:t>Il n'est pas contesté que depuis l'automne 2017, l'appelante travaille à 60% comme ______ dans ______ [L______] et perçoit à ce titre des revenus nets de quelque 1'850 fr. par mois. Si elle bénéficie d'une formation de ______, elle n'a jamais eu l'occasion d'exercer ce métier, sa fille aînée étant née peu après le mariage. Dès 2009, à l'âge de 38 ans, elle a repris une activité salariée, à raison de quelques heures par semaine, dans le domaine de ______, puis a travaillé en qualité de ______ sur appel, entre 2012 et 2014, à raison d'une dizaine d'heures par semaine et de façon irrégulière. De janvier 2015 à juin 2016, elle a été employée à 30% comme ______ dans ______ pour un salaire mensuel de l'ordre de 1'000 fr., avant de connaître une période de chômage de plusieurs mois. Par ailleurs, l'appelante héberge ses deux filles cadettes, âgées de 15 ans, dont elle assume également garde, ainsi ses filles aînées H______, âgée de 20 ans, et C______, devenue majeure en ______ 2019.</w:t>
      </w:r>
    </w:p>
    <w:p>
      <w:r>
        <w:t>Dans la mesure où l'appelante - qui était âgée de 44 ans lorsque les parties se sont séparées et qui ne démontre pas avoir des problèmes de santé qui l'empêcheraient de travailler à temps plein - a repris une activité professionnelle depuis une dizaine d'années, c'est à bon droit que le Tribunal a retenu qu'il pouvait être exigé d'elle qu'elle exerce, à moyen terme, une activité lucrative à temps plein. Les filles cadettes des parties étant âgées de 15 ans, celles-ci ont gagné en autonomie et n'ont plus besoin d'être prises en charge par leur mère pendant la journée. Il convient néanmoins de tenir compte du fait qu'à l'instar de leurs sœurs aînées, D______ et E______ ont toujours pu compter sur la présence et sur le soutien quotidien de leur mère, tandis qu'elles ont entamé leur adolescence, période de transition lors de laquelle le maintien d'un cadre parental stable et structurant apparaît favorable à leur bon développement. Dans ces circonstances, il se justifie</w:t>
      </w:r>
    </w:p>
    <w:p>
      <w:r>
        <w:t>- 15/19 -</w:t>
      </w:r>
    </w:p>
    <w:p>
      <w:r>
        <w:t>C/6510/2017 d'imputer à l'appelante une capacité de travail de 100% dès le mois de ______ 2021, date à laquelle D______ et E______ deviendront majeures.</w:t>
      </w:r>
    </w:p>
    <w:p>
      <w:r>
        <w:t>Le revenu hypothétique de 3'500 fr. nets retenu par le Tribunal pour une activité à plein temps sera confirmé. Selon le calculateur national de salaires en ligne, une personne âgée de 48 ans, sans formation professionnelle complète - situation à laquelle peut être assimilée celle de l'appelante qui n'a jamais eu l'occasion de pratiquer le métier de ______ alors que sa formation date d'il y a plus de 20 ans -, sans fonction de cadre ni ancienneté, exerçant une activité de ______ à raison de 40 heures par semaine à Genève, perçoit un salaire mensuel brut de 4'160 fr. (1er quartile) à 4'540 fr. (médiane) dans le commerce de détail, respectivement de 3'770 fr. (1er quartile) à 4'000 fr. (médiane) dans l'hébergement et la restauration. Après déduction des charges sociales, le revenu mensuel net imputable à l'appelante peut ainsi être estimé à 3'500 fr. dès le 1er août 2021, ce qui tient compte adéquatement de son âge, de sa formation et de ses expériences passées; l'appelante pourra également se procurer un revenu similaire en travaillant comme ______ ou ______, soit à temps plein, soit comme travail d'appoint en sus d'un poste de ______ à temps partiel.</w:t>
      </w:r>
    </w:p>
    <w:p>
      <w:r>
        <w:t>S'agissant de ses charges, le Tribunal a tenu compte d'un minimum vital élargi de 3'302 fr. 20, comprenant ses frais de loyer (1'089 fr. 60, soit 60% de 1'816 fr.), ses primes d'assurance-maladie LAMal (461 fr.) et LCA (193 fr. 50), son assurance ménage-RC (38 fr. 10), ses frais de transport (70 fr.), ses frais d'animal domestique (50 fr.) et la base mensuelle OP (1'350 fr.). Toutefois, c'est à tort que le premier juge a écarté les frais de véhicule de l'appelante (300 fr.) ainsi que ses frais médicaux non remboursés par l'assurance- maladie (100 fr.). Il ressort en effet des déclarations des parties que chacune d'elles avaient l'usage d'un véhicule du temps de la vie commune, l'intimé en ayant besoin pour son travail et l'appelante pour véhiculer les enfants à leurs diverses activités et à leurs rendez-vous de médecin. En outre, la situation financière de la famille étant suffisamment aisée, il y a lieu de retenir qu'avant la séparation, les revenus de l'époux suffisaient à couvrir la franchise et les frais médicaux non remboursés de l'appelante et des enfants (ceux de l'intimé étant déjà pris en charge par son employeur). Ces frais ayant été justifiés par pièces devant le Tribunal, celui-ci aurait dû les inclure dans les charges de l'appelante. S'agissant des frais d'animal domestique, au demeurant modestes, l'intimé ne soutient pas que l'appelante aurait acquis son chat après la séparation; partant, il y a lieu de retenir que les frais y relatifs font partie de l'entretien convenable de cette dernière. Par ailleurs, le Tribunal ne pouvait pas fixer une contribution d'entretien globale de 4'600 fr., puis de 4'800 fr. dès août 2018, en faveur de l'appelante et de ses trois filles mineures sans tenir compte du fait que celle-là devra de payer des impôts sur cette contribution (cf. arrêt du Tribunal fédéral 5A_828/2014 du</w:t>
      </w:r>
    </w:p>
    <w:p>
      <w:r>
        <w:t>- 16/19 -</w:t>
      </w:r>
    </w:p>
    <w:p>
      <w:r>
        <w:t>C/6510/2017 25 mars 2015 consid. 6.3 et les références citées). Les impôts de l'appelante lors du prononcé du divorce peuvent être estimés à 2'540 fr. par an, soit 210 fr. par mois, conformément à la simulation de sa situation fiscale à l'aide de la calculette mise à disposition par l'Etat de Genève. Cette simulation tient compte de son lieu de résidence sur la commune de M______ [GE], de son salaire (1'850 fr., cotisations sociales déjà déduites), du versement des contributions d'entretien pour elle-même (1'800 fr.), C______ (1'000 fr.), D______ et E______(900 fr. x 2), ainsi que des allocations familiales (400 fr. x 3), sous déduction de leurs primes d'assurance-maladie (461 fr. + 286 fr. 60 [95 fr. 40 x 3]). A la date du prononcé du divorce, les charges de l'appelante s'élevaient ainsi au montant arrondi de 3'800 fr. par mois, respectivement de 3'600 fr. dès le 1er août 2018, suite à la baisse du loyer de son logement (vu sa modicité, il n'y a pas lieu de tenir compte de la baisse du loyer du parking). Il s'ensuit que le déficit mensuel de l'appelante était de quelque 1'950 fr. jusqu'au 31 juillet 2018, puis de 1'750 fr. dès le mois d'août 2018. A partir du 1er août 2021, ses charges mensuelles peuvent être estimées à 4'200 fr., eu égard à l'augmentation de sa charge fiscale et aux frais générés par la prise d'une activité lucrative à 100% (frais de repas pris à l'extérieur, frais vestimentaires, etc.); il convient en outre d'inclure dans son minimum vital élargi l'entier des frais de loyer, les enfants étant appelées à quitter le domicile maternel compte tenu de leur âge. Par ailleurs, un montant supplémentaire de 300 fr. par mois sera ajouté aux charges de l'appelante, afin de lui permettre de se constituer une prévoyance professionnelle appropriée après le divorce, étant relevé qu'elle cotisera au 2ème pilier sur la base d'un revenu mensuel d'environ 4'000 fr. bruts, alors que l'intimé pourra compléter ses propres avoirs de prévoyance sur la base de revenus sensiblement supérieurs. Son budget présentera ainsi un déficit de 1'000 fr. (4'200 fr. + 300 fr. – 3'500 fr.).</w:t>
      </w:r>
    </w:p>
    <w:p>
      <w:r>
        <w:rPr>
          <w:b/>
        </w:rPr>
        <w:t>E. 3.4.3</w:t>
      </w:r>
    </w:p>
    <w:p>
      <w:r>
        <w:t>Il n'est pas contesté que les revenus mensuels nets de l'intimé s'élèvent à quelque 9'800 fr. suite à la suppression de son indemnité pour le travail de nuit. Une fois ses charges mensuelles (3'927 fr. 60) couvertes et après paiement des contributions d'entretien versées à C______ (1'000 fr.), aux jumelles (2'000 fr. depuis août 2018) et à l'appelante (1'800 fr.), il bénéficie d'un solde disponible de 1'072 fr. 40. Cet excédent lui permet de couvrir sa charge fiscale, qui peut être estimée à 3'450 fr. par an, soit 290 fr. par mois, en tenant compte de sa résidence sur la commune de Puplinge, de son revenu annuel brut (env. 142'000 fr.) et des déductions inhérentes aux cotisations sociales (env. 20'000 fr. par an) et aux pensions versées à ses trois filles cadettes et à l'appelante.</w:t>
      </w:r>
    </w:p>
    <w:p>
      <w:r>
        <w:rPr>
          <w:b/>
        </w:rPr>
        <w:t>E. 3.4.4</w:t>
      </w:r>
    </w:p>
    <w:p>
      <w:r>
        <w:t>Eu égard aux considérations qui précèdent et conformément aux conclusions prises par l'appelante, la contribution d'entretien post-divorce sera fixée à 1'800 fr. dès le 1er mai 2018 - soit dès l'entrée en force du jugement prononçant le divorce, étant relevé que le dies a quo de cette contribution n'est pas contesté en appel - jusqu'au 31 juillet 2021, afin de permettre à l'appelante de couvrir son minimum</w:t>
      </w:r>
    </w:p>
    <w:p>
      <w:r>
        <w:t>- 17/19 -</w:t>
      </w:r>
    </w:p>
    <w:p>
      <w:r>
        <w:t>C/6510/2017 vital élargi. Dès le 1er août 2021, cette contribution sera réduite à 1'000 fr., l'appelante étant en mesure de couvrir l'essentiel de ses charges grâce aux revenus supplémentaires générés par l'exercice d'une activité lucrative à 100%, cela jusqu'à ce qu'elle atteigne l'âge légal de la retraite, étant relevé que l'intimé atteindra lui-même l'âge légal de la retraite quelques mois plus tôt.</w:t>
      </w:r>
    </w:p>
    <w:p>
      <w:r>
        <w:t>Comme l'a retenu à juste titre le Tribunal, aucune contribution d'entretien ne sera due au-delà de cette date. Il ressort en effet des projections produites par l'intimé que la rente mensuelle 2ème pilier de l'appelante devrait s'élever à quelque 4'900 fr., montant auquel s'ajoutera la rente AVS, les éventuelles lacunes de cotisation au 1er pilier étant compensées par l'effet du splitting et l'octroi des bonifications pour tâches éducatives. L'appelante sera dès lors en mesure de couvrir ses charges mensuelles - qu'elle évalue entre 4'300 fr. et 4'500 fr. par mois -, tout en bénéficiant d'un solde disponible suffisant pour couvrir son entretien convenable de manière similaire à ce qui prévalait du temps de la vie commune.</w:t>
      </w:r>
    </w:p>
    <w:p>
      <w:r>
        <w:rPr>
          <w:b/>
        </w:rPr>
        <w:t>E. 3.4.5</w:t>
      </w:r>
    </w:p>
    <w:p>
      <w:r>
        <w:t>Le chiffre 7 du dispositif du jugement entrepris sera annulé et il sera statué dans le sens de ce qui précède. 4. 4.1 Si l'instance d'appel statue à nouveau, elle se prononce sur les frais de la première instance (art. 318 al. 1 CPC).</w:t>
      </w:r>
    </w:p>
    <w:p>
      <w:r>
        <w:t>En l'occurrence, le jugement attaqué n'est pas critiquable en tant que le Tribunal a arrêté les frais judiciaires à 1'000 fr., conformément aux règles applicables (art. 95, 96, 104 al. 1 CPC; art. 5 et 30 RTFMC), mis ces frais à la charge de l'intimé, conformément aux conclusions de ce dernier, et renoncé à l'allocation de dépens vu la nature familiale du litige (art. 107 al. 1 let. c CPC).</w:t>
      </w:r>
    </w:p>
    <w:p>
      <w:r>
        <w:t>Les chiffres 10 et 11 du dispositif du jugement attaqué seront ainsi confirmés.</w:t>
      </w:r>
    </w:p>
    <w:p>
      <w:r>
        <w:t>4.2 Les frais judiciaires d'appel et d'appel joint, arrêtés à 2'500 fr. (art. 30 et 35 RTFMC), seront compensés, à due concurrence, avec l'avance de 1'250 fr. fournie par l'intimé, qui reste acquise à l'Etat de Genève (art. 111 al. 1 CPC). Ils seront répartis par moitié entre les parties, la part mise à la charge de l'appelante, qui plaide au bénéfice de l'assistance judiciaire, étant provisoirement supportée par l'Etat de Genève (art. 122 et 123 al. 1 CPC).</w:t>
      </w:r>
    </w:p>
    <w:p>
      <w:r>
        <w:t>Compte tenu du caractère familial du litige, chaque partie supportera ses propres dépens d'appel (art. 107 al. 1 let. c CPC). * * * * *</w:t>
      </w:r>
    </w:p>
    <w:p>
      <w:r>
        <w:t>- 18/19 -</w:t>
      </w:r>
    </w:p>
    <w:p>
      <w:r>
        <w:t>C/6510/2017 PAR CES MOTIFS, La Chambre civile : A la forme : Déclare recevables l'appel et l'appel joint interjetés respectivement par A______ et B______ les 8 mai et 14 juin 2018 contre le chiffre 7 du dispositif du jugement JTPI/4988/2018 rendu le 5 avril 2018 par le Tribunal de première instance dans la cause C/6510/2017-15. Au fond : Annule le chiffre 7 du dispositif du jugement entrepris et, statuant à nouveau sur ce point : Condamne B______ à payer en mains de A______, par mois et d'avance, à titre de contribution d'entretien post-divorce, 1'800 fr. du 1er mai 2018 jusqu'au 31 juillet 2021 et 1'000 fr. du 1er août 2021 jusqu'à ce que A______ atteigne l'âge légal de la retraite. Confirme le jugement attaqué pour le surplus. Déboute les parties de toutes autres conclusions. Sur les frais : Arrête les frais judiciaires d'appel et d'appel joint à 2'500 fr., les met à la charge des parties à raison de la moitié chacune et les compense à due concurrence avec l'avance fournie par B______, qui reste acquise à l'Etat de Genève. Laisse provisoirement à la charge de l'Etat de Genève la somme de 1'250 fr. due par A______ à titre de frais judiciaires d'appel. Dit que chaque partie supporte ses propres dépens d'appel. Siégeant : Madame Ursula ZEHETBAUER GHAVAMI, présidente; Mesdames Sylvie DROIN et Nathalie RAPP, juges; Madame Camille LESTEVEN, greffière.</w:t>
      </w:r>
    </w:p>
    <w:p>
      <w:r>
        <w:t>La présidente : Ursula ZEHETBAUER GHAVAMI</w:t>
      </w:r>
    </w:p>
    <w:p>
      <w:r>
        <w:t>La greffière : Camille LESTEVEN</w:t>
      </w:r>
    </w:p>
    <w:p>
      <w:r>
        <w:t>- 19/19 -</w:t>
      </w:r>
    </w:p>
    <w:p>
      <w:r>
        <w:t>C/6510/2017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r>
        <w:rPr>
          <w:b/>
        </w:rPr>
        <w:t>E. 5</w:t>
      </w:r>
    </w:p>
    <w:p>
      <w:r>
        <w:t>novembre 2015 consid.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