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ACJC/64/2016 vom 26. Januar 2016</w:t>
      </w:r>
    </w:p>
    <w:p>
      <w:r>
        <w:t>GE Cour de justice, 2016-01-26, FR</w:t>
      </w:r>
    </w:p>
    <w:p>
      <w:r>
        <w:rPr>
          <w:b/>
        </w:rPr>
        <w:t xml:space="preserve">Quelle: </w:t>
      </w:r>
      <w:r>
        <w:t>https://mcp.opencaselaw.ch/entscheid/ge_gerichte_ACJC_64_2016</w:t>
      </w:r>
    </w:p>
    <w:p>
      <w:r>
        <w:t>FR: GE_GERICHTE ACJC/64/2016 du 26 janvier 2016</w:t>
      </w:r>
    </w:p>
    <w:p>
      <w:r>
        <w:t>IT: GE_GERICHTE ACJC/64/2016 del 26 gennaio 2016</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sur le montant de la contribution d'entretien en faveur de l'enfant qui est, in casu, supérieur à 10'000 fr. (1'000 fr. x 12 x 20; art. 92 al. 2 CPC) ainsi que sur la répartition des frais et dépens de première instance. La voie de l'appel est dès lors ouverte.</w:t>
      </w:r>
    </w:p>
    <w:p>
      <w:r>
        <w:rPr>
          <w:b/>
        </w:rPr>
        <w:t>E. 1.2</w:t>
      </w:r>
    </w:p>
    <w:p>
      <w:r>
        <w:t>Interjeté dans le délai de dix jours (art. 271 et 314 al. 1 CPC) et selon la forme prescrite par la loi (art. 130, 131, 252 et 311 CPC), l'appel est recevable.</w:t>
      </w:r>
    </w:p>
    <w:p>
      <w:r>
        <w:rPr>
          <w:b/>
        </w:rPr>
        <w:t>E. 2</w:t>
      </w:r>
    </w:p>
    <w:p>
      <w:r>
        <w:t>L'appelant étant de nationalité étrangère,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w:t>
      </w:r>
    </w:p>
    <w:p>
      <w:r>
        <w:rPr>
          <w:b/>
        </w:rPr>
        <w:t>E. 3.1</w:t>
      </w:r>
    </w:p>
    <w:p>
      <w:r>
        <w:t>La Cour revoit la cause avec un plein pouvoir d'examen, tant en fait qu'en droit (art. 310 CPC).</w:t>
      </w:r>
    </w:p>
    <w:p>
      <w:r>
        <w:t>- 6/12 -</w:t>
      </w:r>
    </w:p>
    <w:p>
      <w:r>
        <w:t>C/4654/2014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3.2</w:t>
      </w:r>
    </w:p>
    <w:p>
      <w:r>
        <w:t>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w:t>
      </w:r>
    </w:p>
    <w:p>
      <w:r>
        <w:rPr>
          <w:b/>
        </w:rPr>
        <w:t>E. 3.3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tous les nova sont admis en appel, selon la jurisprudence de la Cour de céans (ACJC/365/2015; dans le même sens : TREZZINI, in Commentario al Codice di diritto processuale civile svizzero (CPC), 2011, p. 1394; TAPPY, Les voies de droit du nouveau Code de procédure civile, JdT 2010 III p. 115 ss, p. 139). En l'espèce, la pièce versée par l'appelante devant la Cour est relative aux charges de l'enfant mineur des parties, de sorte qu'elle est recevable.</w:t>
      </w:r>
    </w:p>
    <w:p>
      <w:r>
        <w:rPr>
          <w:b/>
        </w:rPr>
        <w:t>E. 4</w:t>
      </w:r>
    </w:p>
    <w:p>
      <w:r>
        <w:t>L'appelant reproche au Tribunal d'avoir fixé la contribution d'entretien de l'enfant à 900 fr. par mois en faisant application de la seule méthode du pourcentage après lui avoir fixé un revenu hypothétique. Il remet en cause le montant des charges retenues par le Tribunal pour l'enfant ainsi que celui de ses propres revenus et charges.</w:t>
      </w:r>
    </w:p>
    <w:p>
      <w:r>
        <w:rPr>
          <w:b/>
        </w:rPr>
        <w:t>E. 4.1</w:t>
      </w:r>
    </w:p>
    <w:p>
      <w:r>
        <w:t>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1a). Celui des</w:t>
      </w:r>
    </w:p>
    <w:p>
      <w:r>
        <w:t>- 7/12 -</w:t>
      </w:r>
    </w:p>
    <w:p>
      <w:r>
        <w:t>C/4654/2014 parents dont la capacité financière est supérieure est par ailleurs tenu, suivant les circonstances, de subvenir à l'entier du besoin en argent si l'autre remplit son obligation essentiellement en nature (ATF 120 II 285 consid. 3a/cc; arrêt 5C.125/1994 consid. 5c). Le montant de cette obligation est laissé, pour une part importante, à l'appréciation du juge du fait (art. 4 CC). Il existe différentes méthodes propres à évaluer les besoins de l'enfant en fonction de son âge. L'une des méthodes, inspirée de la pratique vaudoise et applicable lorsque le revenu net du parent débiteur se trouve dans une fourchette comprise entre 5'000 et 6'000 fr. par mois, consiste à calculer la contribution due pour l'entretien de l'enfant sur la base d'un pourcentage - 15 à 17% pour un enfant unique - de ce revenu. Cette méthode se fonde exclusivement sur la capacité contributive des père et mère et non sur les besoins effectifs de l'enfant (MEIER/STETTLER, Droit de la filiation, 5ème éd., 2014, n. 518), de sorte que l'application de cette méthode seule ne saurait toutefois être utilisée sans examen des autres facteurs d'appréciation. Il y a également la méthode dite du "minimum vital", selon laquelle les besoins de l'enfant mineur et la capacité contributive du débirentier sont déterminés en ajoutant à leur montant de base admis par le droit des poursuites, leurs charges incompressibles respectives telles que loyer, assurance maladie, etc. (arrêt du Tribunal fédéral 5C.107/2005 du 13 avril 2006, consid. 4.2.1). Les charges de l'enfant mineur et celles de ses parents comprennent un montant de base selon les normes d'insaisissabilité pour l'année, une participation aux frais du logement (arrêt du Tribunal fédéral 5A_533/2010 du 24 novembre 2010 consid. 2.1), les coûts de santé, tels que les cotisations de caisse maladie de base, les frais de transports publics,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BASTONS BULLETTI, L'entretien après le divorce : méthodes de calcul, montant et durée, in SJ 2007 II p. 77 ss, p. 90 et 91). La part d'un enfant au logement peut être fixée à 20% du loyer (BASTONS BULLETTI, op. cit., p. 102 n. 140; ACJC/1179/2013 du 27 septembre 2013 consid. 6.1). Les allocations familiales doivent être retranchées du coût de l'enfant (arrêts du Tribunal fédéral 5A_386/2012 du 23 juillet 2012 consid. 4.3.1 et 5A_402/2010 du 10 septembre 2010 consid. 4.2.4). Dans tous les cas, il convient de prendre en compte les particularités de chaque situation, sans faire preuve d'un schématisme aveugle. De plus, la jurisprudence</w:t>
      </w:r>
    </w:p>
    <w:p>
      <w:r>
        <w:t>- 8/12 -</w:t>
      </w:r>
    </w:p>
    <w:p>
      <w:r>
        <w:t>C/4654/2014 rappelle que, dans le cadre de l'art. 285 al. 1 CC, le juge dispose d'un large pouvoir d'appréciation des faits (ATF 128 III 161 consid. 2/c/aa). En cas d'effet rétroactif du versement des contributions d'entretien, le juge qui en fixe le montant doit tenir compte des versements déjà effectués à ce titre par l'époux débirentier (ATF 138 III 583 consid. 6.1.2;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consid. 2; arrêt du Tribunal fédéral 5A_860/2011 du 11 juin 2012, consid. 6.3). Le dispositif de la décision qui condamne à verser une pension "sous déduction de toutes sommes déjà versées", ne satisfait pas à l'exigence précitée et n'autorise pas le prononcé de la mainlevée définitive (ATF 135 III 315, consid. 2.3 et 2.4).</w:t>
      </w:r>
    </w:p>
    <w:p>
      <w:r>
        <w:rPr>
          <w:b/>
        </w:rPr>
        <w:t>E. 4.2</w:t>
      </w:r>
    </w:p>
    <w:p>
      <w:r>
        <w:t>En l'espèce, il n'est pas contesté que les parties ont connu un train de vie modeste, de sorte que les besoins de l'enfant doivent être calculés selon la méthode dite du minimum vital élargi. Les charges de l'enfant s'élèvent à 496 fr. 10 comprenant sa participation au loyer de sa mère (272 fr., soit 20% de 1'360 fr.), sa prime d'assurance maladie de base, subside de 100 fr. déduit (3 fr. 10), les frais de cantine et de prise en charge parascolaire (121 fr., soit 37 fr. 75 par semaine x 38,5 semaines d'école par année / 12 mois) et son entretien de base selon les normes OP (400 fr.), sous déduction de 300 fr. d'allocations familiales. Il n'est pas tenu compte des frais de transport (45 fr.) allégués par l'intimée dès lors que l'enfant est scolarisé à l'école de son quartier à laquelle il peut se rendre à pied. Par ailleurs, il suffit à l'intimée de procéder à la rectification de sa taxation – étant relevé qu'elle n'explique pas pourquoi elle a été taxée d'office en 2013 – afin de pouvoir continuer de percevoir des subsides de l'assurance maladie, de sorte qu'il lui appartient de supporter les conséquences de sa suppression, étant précisé qu'elle dispose d'un solde mensuel suffisant pour assumer cette somme supplémentaire de 100 fr. En effet, il n'est pas contesté que l'intimée perçoive des indemnités de la SUVA à raison de 4'064 fr. par mois et que ses charges personnelles s'élèvent à 2'833 fr., de sorte que son disponible est de 1'231 fr. L'appelant n'a pas clairement établi la réalité de sa situation financière. Si, par le passé, il a pu exercer des activités parallèlement à un emploi fixe ou en période de chômage, aucun élément n'a en revanche été produit dans la présente procédure rendant vraisemblable que tel est le cas à ce jour. Cela étant, il n'est pas nécessaire d'établir précisément quels sont les revenus actuels de l'appelant dès lors qu'il se propose de verser une contribution à l'entretien de l'enfant de 500 fr. par mois qui</w:t>
      </w:r>
    </w:p>
    <w:p>
      <w:r>
        <w:t>- 9/12 -</w:t>
      </w:r>
    </w:p>
    <w:p>
      <w:r>
        <w:t>C/4654/2014 permettra de couvrir l'ensemble des charges de l'enfant, y compris une participation au loyer de sa mère. Il est à relever que l'application de la seule méthode du pourcentage par le Tribunal n'est pas satisfaisante en l'espèce, en particulier dans la mesure où le calcul se fonde sur un revenu hypothétique du débirentier. Le dies a quo du versement de la contribution d'entretien, fixé par le Tribunal au 1er octobre 2014, n'est pas contesté par les parties. En revanche, le Tribunal aurait dû spécifier les montants à imputer au titre des sommes déjà versées par l'appelant depuis le 1er octobre 2014. Il n'est pas contesté que l'appelant a effectué deux versements de 500 fr. en mains de son épouse en décembre 2014 en faveur de l'enfant. D'autres versements n'ont pas été allégués. Compte tenu de ce qui précède, le chiffre 5 du dispositif du jugement sera annulé et l'appelant sera condamné à payer en mains de l'intimée, allocations familiales non comprises, à titre de contribution à l'entretien de son fils, la somme de 6'500 fr. pour la période du 1er octobre 2014 au 31 décembre 2015 (15 x 500 fr. – 1'000 fr.), puis 500 fr. par mois et d'avance dès le 1er janvier 2016.</w:t>
      </w:r>
    </w:p>
    <w:p>
      <w:r>
        <w:rPr>
          <w:b/>
        </w:rPr>
        <w:t>E. 5.1</w:t>
      </w:r>
    </w:p>
    <w:p>
      <w:r>
        <w:t>Lorsque la Cour réforme en tout ou en partie le jugement entrepris, elle se prononce aussi sur les frais de première instance (art. 318 al. 3 CPC). Le premier juge a arrêté à 1'000 fr. les frais judiciaires de l'ensemble de la procédure qu'il a mis à la charge de l'appelant à raison de 4/5ème au motif que celui-ci avait, par son attitude procédurale, contribué au rallongement de la procédure. Il l'a également condamné à des dépens en faveur de l'intimée. Compte tenu de l'issue du litige et de la qualité des parties, l'appelant étant condamné à verser une contribution d'entretien d'un montant correspondant au montant qu'il offrait de verser devant le premier juge, les frais de procédure de première instance seront mis à la charge des parties à parts égales entre elles.</w:t>
      </w:r>
    </w:p>
    <w:p>
      <w:r>
        <w:rPr>
          <w:b/>
        </w:rPr>
        <w:t>E. 5.2</w:t>
      </w:r>
    </w:p>
    <w:p>
      <w:r>
        <w:t>Les frais judiciaires de l'appel sont fixés à 1'250 fr. (art. 96, 104 al. 1, 105 et 106 CPC; art. 31 et 37 RTFMC). Ils seront compensés avec l'avance de 1'250 fr. fournie par l'appelant (art. 111 al. 1 CPC) et, le litige relevant du droit de la famille, mis à la charge de chaque partie pour moitié (art. 107 al. 1 let. c CPC).</w:t>
      </w:r>
    </w:p>
    <w:p>
      <w:r>
        <w:rPr>
          <w:b/>
        </w:rPr>
        <w:t>E. 5.3</w:t>
      </w:r>
    </w:p>
    <w:p>
      <w:r>
        <w:t>Pour des motifs d'équité liés à la nature du litige, les parties conserveront leurs propres dépens de première instance et d'appel à leur charge (art. 95 al. 1 let. b et al. 3, 104 al. 1, 105 al. 2 et 107 al. 1 let. c CPC).</w:t>
      </w:r>
    </w:p>
    <w:p>
      <w:r>
        <w:rPr>
          <w:b/>
        </w:rPr>
        <w:t>E. 6</w:t>
      </w:r>
    </w:p>
    <w:p>
      <w:r>
        <w:t>Le présent arrêt, statuant sur mesures provisionnelles est susceptible d'un recours en matière civile au Tribunal fédéral (art. 72 al. 1 LTF), la valeur litigieuse étant supérieure à 30'000 fr. au sens de l'art. 74 al. 1 let. b LTF (cf. art. 51 al. 4 LTF et</w:t>
      </w:r>
    </w:p>
    <w:p>
      <w:r>
        <w:t>- 10/12 -</w:t>
      </w:r>
    </w:p>
    <w:p>
      <w:r>
        <w:t>C/4654/2014 consid. 1.1 ci-dessus). Les moyens sont toutefois limités à la violation des droits constitutionnels (art. 98 LTF). * * * * *</w:t>
      </w:r>
    </w:p>
    <w:p>
      <w:r>
        <w:t>- 11/12 -</w:t>
      </w:r>
    </w:p>
    <w:p>
      <w:r>
        <w:t>C/4654/2014 PAR CES MOTIFS, La Chambre civile : A la forme : Déclare recevable l'appel interjeté par A______ contre les chiffres 5, 7 et 8 du jugement JTPI/11610/2015 rendu le 28 septembre 2015 par le Tribunal de première instance dans la cause C/4654/2014-17. Au fond : Annule les chiffres 5, 7 et 8 du dispositif du jugement entrepris et, statuant à nouveau : Condamne A_______ à verser en mains de B_______ 6'500 fr. à titre de contribution pour l'entretien de l'enfant C_______ pour la période du 1er octobre 2014 au 31 décembre 2015. Condamne A_______ à verser en mains de B_______, par mois et d'avance, allocations familiales non comprises, la somme de 500 fr. pour l'entretien de C_______, dès le 1er janvier 2016. Arrête à 1'000 fr. les frais judiciaires de première instance, les met pour moitié à la charge de chaque partie et les compense partiellement avec l'avance de 200 fr. fournie par B_______. Condamne A_______ à verser à l'Etat de Genève, soit pour lui les Services financiers du Pouvoir judiciaire, la somme de 500 fr. Condamne B_______ à verser à l'Etat de Genève, soit pour lui les Services financiers du Pouvoir judiciaire, la somme de 300 fr. Dit que chaque partie supporte ses propres dépens de première instance. Déboute les parties de toutes autres conclusions. Sur les frais : Arrête les frais judiciaires d'appel à 1'250 fr., les met pour moitié à la charge de chaque partie et les compense avec l'avance de frais du même montant fournie par A_______, qui reste acquise à l'Etat de Genève. Condamne, en conséquence B_______ à verser 625 fr. à A_______ à titre de frais judiciaires d'appel.</w:t>
      </w:r>
    </w:p>
    <w:p>
      <w:r>
        <w:t>- 12/12 -</w:t>
      </w:r>
    </w:p>
    <w:p>
      <w:r>
        <w:t>C/4654/2014</w:t>
      </w:r>
    </w:p>
    <w:p>
      <w:r>
        <w:t>Dit que chaque partie supporte ses propres dépens d'appel. Siégeant : Madame Florence KRAUSKOPF, présidente; Madame Sylvie DROIN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