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ACJC/648/2020 vom 15. Mai 2020</w:t>
      </w:r>
    </w:p>
    <w:p>
      <w:r>
        <w:t>GE Cour de justice, 2020-05-15, FR</w:t>
      </w:r>
    </w:p>
    <w:p>
      <w:r>
        <w:rPr>
          <w:b/>
        </w:rPr>
        <w:t xml:space="preserve">Quelle: </w:t>
      </w:r>
      <w:r>
        <w:t>https://mcp.opencaselaw.ch/entscheid/ge_gerichte_ACJC_648_2020</w:t>
      </w:r>
    </w:p>
    <w:p>
      <w:r>
        <w:t>FR: GE_GERICHTE ACJC/648/2020 du 15 mai 2020</w:t>
      </w:r>
    </w:p>
    <w:p>
      <w:r>
        <w:t>IT: GE_GERICHTE ACJC/648/2020 del 15 maggio 2020</w:t>
      </w:r>
    </w:p>
    <w:p>
      <w:pPr>
        <w:pStyle w:val="Heading2"/>
      </w:pPr>
      <w:r>
        <w:t>Erwägungen</w:t>
      </w:r>
    </w:p>
    <w:p>
      <w:r>
        <w:rPr>
          <w:b/>
        </w:rPr>
        <w:t>E. 1.1</w:t>
      </w:r>
    </w:p>
    <w:p>
      <w:r>
        <w:t>La décision sur les frais ne peut être attaquée séparément que par un recours (art. 110 CPC). En l'espèce, l'acte du 28 février 2020 est dirigé uniquement contre le chiffre 4, relatif aux dépens, de l'ordonnance de Tribunal du 20 février 2020, laquelle a été rendue en procédure sommaire (art. 248 let. d et 249 let. d ch. 5 CPC). Il respecte le délai de 10 jours et la forme prévus à l'art. 321 al. 1 et 2 CPC. Il est donc recevable en tant que recours, en dépit de sa dénomination.</w:t>
      </w:r>
    </w:p>
    <w:p>
      <w:r>
        <w:rPr>
          <w:b/>
        </w:rPr>
        <w:t>E. 1.2</w:t>
      </w:r>
    </w:p>
    <w:p>
      <w:r>
        <w:t>Selon l'art. 320 CPC, le recours est recevable pour violation du droit (let. a) ou constatation manifestement inexacte des faits (let. b). ). L'instance de recours examine les questions de droit avec le même pouvoir d'examen que l'instance précédente (Message du Conseil fédéral du 28 juin 2006 relatif au code de procédure civile suisse, FF 2006 6841, p. 6984).</w:t>
      </w:r>
    </w:p>
    <w:p>
      <w:r>
        <w:rPr>
          <w:b/>
        </w:rPr>
        <w:t>E. 1.3</w:t>
      </w:r>
    </w:p>
    <w:p>
      <w:r>
        <w:t>La pièce 4 du recourant, produite conformément à l'art. 105 al. 2 deuxième phrase CPC, est recevable en dépit de l'art. 326 CPC.</w:t>
      </w:r>
    </w:p>
    <w:p>
      <w:r>
        <w:rPr>
          <w:b/>
        </w:rPr>
        <w:t>E. 2</w:t>
      </w:r>
    </w:p>
    <w:p>
      <w:r>
        <w:t>Le recourant fait grief au Tribunal de ne lui avoir alloué que 2'500 fr. de dépens, sans aucune motivation alors qu'il avait produit deux notes de frais d'un total de 8'960 fr. 64, et d'avoir violé les art. 85 al. 1 et 88 RTFMC.</w:t>
      </w:r>
    </w:p>
    <w:p>
      <w:r>
        <w:rPr>
          <w:b/>
        </w:rPr>
        <w:t>E. 2.1</w:t>
      </w:r>
    </w:p>
    <w:p>
      <w:r>
        <w:t>Conformément à l'art. 105 al. 2 CPC, le tribunal fixe les dépens selon le tarif, les parties pouvant produire une note de frais. Les dépens sont une indemnité de procédure mise à la charge d'un plaideur en faveur de l'autre pour le dédommager des dépenses ou du manque à gagner occasionné par le procès (arrêt du Tribunal fédéral 5A_888/2018 du 25 mars 2019 consid. 3.1.1, citant TAPPY, Commentaire romand, Code de procédure civile, 2ème éd. 2019, n° 21 ad art. 95 CPC). Ils comprennent les débours nécessaires et le défraiement d'un représentant professionnel (art. 95 al. 3 CPC).</w:t>
      </w:r>
    </w:p>
    <w:p>
      <w:r>
        <w:rPr>
          <w:b/>
        </w:rPr>
        <w:t>E. 2.1.1</w:t>
      </w:r>
    </w:p>
    <w:p>
      <w:r>
        <w:t>Les parties peuvent soit demander au tribunal d’allouer des dépens équitables, soit déposer des conclusions chiffrées et motivées, ce qui a lieu en général sous la forme de la production d’une liste de frais (arrêt du Tribunal fédéral 4A_171/2017 du 26 septembre 2017 consid. 4). Si les conclusions en octroi de dépens ne sont pas chiffrées, les tribunaux fixent les dépens selon leur appréciation, sur la base des tarifs cantonaux (ATF 140 III 444 consid. 3.2.2).</w:t>
      </w:r>
    </w:p>
    <w:p>
      <w:r>
        <w:t>Un avocat qui dépose une liste de frais en vertu d’un tarif selon la valeur litigieuse doit savoir que le tribunal, sur la base du tarif cantonal, a la possibilité d’opérer des réductions exceptionnelles. Si au vu du travail qu’il a effectivement fourni, il</w:t>
      </w:r>
    </w:p>
    <w:p>
      <w:r>
        <w:t>- 5/10 -</w:t>
      </w:r>
    </w:p>
    <w:p>
      <w:r>
        <w:t>C/17303/2019 veut prendre les devants, il est tenu d’exposer de lui-même les opérations qu’il a effectuées. Sinon, le tribunal est fondé à estimer les opérations nécessaires au regard de la complexité et de l’importance du litige et à calculer en conséquence des suppléments ou des déductions. Le travail effectivement réalisé peut en outre différer de celui requis par une conduite diligente du procès (arrêt du Tribunal fédéral 4A_171/2017 du 26 septembre 2017 consid. 4).</w:t>
      </w:r>
    </w:p>
    <w:p>
      <w:r>
        <w:rPr>
          <w:b/>
        </w:rPr>
        <w:t>E. 2.1.2</w:t>
      </w:r>
    </w:p>
    <w:p>
      <w:r>
        <w:t>L'art. 96 CPC, auquel renvoie l'art. 105 al. 2 CPC, dispose que les cantons fixent le tarif des frais. Le Canton de Genève a ainsi adopté le règlement 22 décembre 2010 fixant le tarif des frais en matière civile (RTFMC; RS E 1 05.10), fondé sur les art. 19 à 26 de la loi du 11 octobre 2012 d'application du code civil suisse et d'autres lois fédérales en matière civile (LaCC; RS E 1 05).</w:t>
      </w:r>
    </w:p>
    <w:p>
      <w:r>
        <w:t>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w:t>
      </w:r>
    </w:p>
    <w:p>
      <w:r>
        <w:t>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w:t>
      </w:r>
    </w:p>
    <w:p>
      <w:r>
        <w:t>Sans préjudice de l'art. 23 LaCC, le juge peut s'écarter de plus ou moins 10% du montant calculé selon l'art. 85 RTFMC pour tenir compte de l'importance de la cause, de ses difficultés, de l'ampleur du travail et du temps employé (art. 85 al. 1 RTFMC).</w:t>
      </w:r>
    </w:p>
    <w:p>
      <w:r>
        <w:t>Le juge fixe les dépens d'après le dossier, en chiffres ronds, incluant la taxe sur la valeur ajoutée (art. 26 al. 1 LaCC). Les débours nécessaires sont estimés, sauf éléments contraires, à 3% du défraiement et s'ajoutent à celui-ci (art. 25 LaCC).</w:t>
      </w:r>
    </w:p>
    <w:p>
      <w:r>
        <w:t>En application de l'art. 85 al. 1 RTFMC, pour une valeur litigieuse de 508'947 fr. 17, le défraiement d'un représentant professionnel est de 19'400 fr., plus 2% de la valeur litigieuse dépassant 300'000 fr. (art. 85 al. 1 RTFMC), soit 4'178 fr. 95, représentant ainsi 23'579 fr. arrondis, montant auquel s'ajoutent les débours de 3% et la TVA de 7,7%, soit un montant total de 26'102 fr. arrondi.</w:t>
      </w:r>
    </w:p>
    <w:p>
      <w:r>
        <w:t>Pour les procédures sommaires, le défraiement est, dans la règle, réduit à 2/3 et au plus à 1/5ème du tarif de l'art. 85 RTFMC (art. 88 RTFMC), soit, pour la valeur litigieuse en question, une fourchette entre 5'220 fr. et 17'401 fr., débours et TVA compris.</w:t>
      </w:r>
    </w:p>
    <w:p>
      <w:r>
        <w:rPr>
          <w:b/>
        </w:rPr>
        <w:t>E. 2.1.3</w:t>
      </w:r>
    </w:p>
    <w:p>
      <w:r>
        <w:t>La valeur litigieuse est un élément à prendre en considération dans la fixation du défraiement de l'avocat, car elle influe sur la responsabilité de celui-ci</w:t>
      </w:r>
    </w:p>
    <w:p>
      <w:r>
        <w:t>- 6/10 -</w:t>
      </w:r>
    </w:p>
    <w:p>
      <w:r>
        <w:t>C/17303/2019 (ATF 93 I 116 consid. 5a); elle ne saurait toutefois reléguer à l'arrière-plan le facteur de l'activité déployée par l'homme de loi, dont la rétribution doit rester dans un rapport raisonnable avec la prestation fournie (ATF 93 I 116 consid. 5a; arrêts du Tribunal fédéral 5A_1007/2017 du 6 avril 2018 consid. 2.2.2 et 2.3.3; 5A_171/2014 du 14 juillet 2014 consid. 2.3.2 et les références citées; 4C_1/2011 précité consid. 6.1, in : Pra 2011 p. 623 n° 88; 4A_496/2009 du 2 novembre 2009 consid. 4.1; CORBOZ, Commentaire de la LTF, 2e éd., 2014, n. 35 ad art. 68 LTF).</w:t>
      </w:r>
    </w:p>
    <w:p>
      <w:r>
        <w:t>A Genève, en l'absence de tarif officiel, 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w:t>
      </w:r>
    </w:p>
    <w:p>
      <w:r>
        <w:rPr>
          <w:b/>
        </w:rPr>
        <w:t>E. 2.1.4</w:t>
      </w:r>
    </w:p>
    <w:p>
      <w:r>
        <w:t>Selon la jurisprudence, le juge n'est pas toujours tenu de motiver la décision par laquelle il fixe le montant des dépens alloués à une partie obtenant totalement ou partiellement gain de cause dans un procès.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(ATF 139 V 496 consid. 5.1; arrêts du Tribunal fédéral 5A_888/2018 du 25 mars 2019 consid. 3.1.2; 1C_478/2017 du 8 mai 2018 consid. 2.1; 5A_932/2016 du 24 juillet 2017 consid. 2.1.1).</w:t>
      </w:r>
    </w:p>
    <w:p>
      <w:r>
        <w:t>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w:t>
      </w:r>
    </w:p>
    <w:p>
      <w:r>
        <w:rPr>
          <w:b/>
        </w:rPr>
        <w:t>E. 2.2</w:t>
      </w:r>
    </w:p>
    <w:p>
      <w:r>
        <w:t>En l'espèce, la procédure portait sur l'inscription provisoire d'une hypothèque légale des artisans et entrepreneur et la valeur litigieuse était de 508'947 fr. 17. S'agissant d'une procédure sommaire, d'un point de vue mathématique, le défraiement, débours et TVA compris, devrait se situer dans une fourchette entre 5'220 fr. et 17'401 fr. Tenant compte d'une réduction de 10 % fondée sur l'art. 85 al. 1 RTFMC (importance et difficultés de la cause, ampleur du travail et temps employé), on obtiendrait une fourchette entre 4'698 fr. et 15'661 fr., débours et TVA compris.</w:t>
      </w:r>
    </w:p>
    <w:p>
      <w:r>
        <w:t>- 7/10 -</w:t>
      </w:r>
    </w:p>
    <w:p>
      <w:r>
        <w:t>C/17303/2019 Le recourant a chiffré ses conclusions en allocation des dépens et a produit deux notes de frais détaillées, pour un montant total de 8'960 fr. 64, débours et TVA compris, correspondant à 16h d'activité à un tarif de 500 fr. de l'heure. Ce temps a été consacré à l'examen de la requête et de la duplique (19 pages, 54 allégués et 57 pièces, respectivement 6 pages, 85 allégués et une pièce), à la préparation d'une réponse et d'une duplique et des chargés de pièces les accompagnant (14 pages et 33 pièces, respectivement 9 pages et 5 pièces), à des entretiens avec le client et à un échange de correspondance avec celui-ci. Compte tenu de la valeur litigieuse dépassant 500'000 fr., de l'enjeu de la procédure, qui consistait pour le recourant à éviter l'inscription d'une hypothèque légale sur sa parcelle, de l'importance et des difficultés de la cause, ainsi que de l'ampleur du travail nécessaire pour répondre aux écritures de l'intimée et analyser les nombreuses pièces produites par celle-ci, le montant réclamé par le recourant à titre de dépens n'apparait pas excessif. Il en va de même du tarif horaire retenu, qui reste dans un rapport raisonnable avec le tarif usuellement appliqué à Genève pour un chef d'étude, ainsi que du pourcentage des débours appliqué. Le travail effectué par le conseil du recourant ne peut être considéré comme excédant celui nécessaire à une conduite diligente du procès, contrairement à ce que soutient l'intimée. La somme réclamée se situe en outre dans la fourchette calculée ci- dessus, laquelle tient compte de la réduction pour les procédures sommaires ainsi que d'une réduction de 10% fondée sur l'art. 85 al. 1 RTFMC. En définitive, il ne se justifiait pas de s'écarter des notes de frais produites par le recourant. Le recours se révélant fondé, le chiffre 4 du dispositif de l'ordonnance attaquée sera annulé. Dans la mesure où la cause est en état d'être jugée (art. 327 al. 3 let. b CPC), les dépens de première instance seront fixés, en chiffres ronds, à 8'960 fr. Au regard de ce qui précède, il n'y a pas lieu de trancher la question d'un éventuel défaut de motivation de la décision attaquée sur la question des dépens.</w:t>
      </w:r>
    </w:p>
    <w:p>
      <w:r>
        <w:rPr>
          <w:b/>
        </w:rPr>
        <w:t>E. 3.1</w:t>
      </w:r>
    </w:p>
    <w:p>
      <w:r>
        <w:t>Les frais judiciaires du recours seront fixés à 500 fr. (art. 17 et 38 RTFMC), mis à la charge de l'intimée, qui succombe (art. 106 al. 1 CPC), et compensés avec l'avance de 300 fr. fournie par le recourant, laquelle demeure acquise à l'Etat de Genève (art. 111 al. 1 CPC). L'intimée versera 300 fr. au recourant (art. 111 al. 2 CPC) et 200 fr. aux Services financiers du Pouvoir judiciaire.</w:t>
      </w:r>
    </w:p>
    <w:p>
      <w:r>
        <w:rPr>
          <w:b/>
        </w:rPr>
        <w:t>E. 3.2</w:t>
      </w:r>
    </w:p>
    <w:p>
      <w:r>
        <w:t>Les dépens du recours seront fixés au montant de 1'120 fr. (en chiffres ronds), débours et TVA compris, réclamé par le recourant sur la base d'une note de frais détaillée (2h d'activité à 500 fr. de l'heure, soit 1'000 fr. d'honoraires, plus 40 fr. de frais, soit un forfait de 4% des honoraires, et 80 fr. 08 de TVA à 7,7%). Ce montant est dans un dans un rapport raisonnable avec la prestation fournie, ainsi qu'avec la fourchette obtenue en application des dispositions cantonales pour une valeur litigieuse de 8'960 fr. (art. 85 al. 1, 88 et 90 RTFMC). Le montant réclamé par le recourant n'est d'ailleurs pas contesté par l'intimée.</w:t>
      </w:r>
    </w:p>
    <w:p>
      <w:r>
        <w:t>- 8/10 -</w:t>
      </w:r>
    </w:p>
    <w:p>
      <w:r>
        <w:t>C/17303/2019</w:t>
      </w:r>
    </w:p>
    <w:p>
      <w:r>
        <w:rPr>
          <w:b/>
        </w:rPr>
        <w:t>E. 4</w:t>
      </w:r>
    </w:p>
    <w:p>
      <w:r>
        <w:t>En cas de recours dont l'objet porte exclusivement sur les frais et dépens, lorsque seuls ceux-ci étaient litigieux devant l'autorité cantonale, à l'exclusion du fond de la cause, la valeur litigieuse devant le Tribunal fédéral se détermine selon ces seules conclusions relatives aux frais et dépens (arrêts du Tribunal fédéral 5D_86/2012 du 14 septembre 2012 consid. 1 et 5A_396/2012 du 5 septembre 2012 consid. 1.2).</w:t>
      </w:r>
    </w:p>
    <w:p>
      <w:r>
        <w:t>La valeur litigieuse est en l'espèce inférieure à 30'000 fr. * * * * *</w:t>
      </w:r>
    </w:p>
    <w:p>
      <w:r>
        <w:t>- 9/10 -</w:t>
      </w:r>
    </w:p>
    <w:p>
      <w:r>
        <w:t>C/17303/2019 PAR CES MOTIFS, La Chambre civile : A la forme : Déclare recevable le recours interjeté le 28 février 2020 par A______ contre le chiffre 4 du dispositif de l'ordonnance OTPI/136/2020 rendue le 20 février 2020 par le Tribunal de première instance dans la cause C/17303/2019-4 SP. Au fond : Admet le recours, annule le chiffre 4 du dispositif de l'ordonnance attaquée et, statuant à nouveau sur ce point : Condamne B______ SA à verser à A______ 8'960 fr. à titre de dépens de première instance. Déboute les parties de toutes autres conclusions. Sur les frais : Arrête les frais judiciaires du recours à 500 fr., les met à la charge de B______ SA et les compense avec l'avance de 300 fr. effectuée, laquelle demeure acquise à l'Etat de Genève. Condamne B______ SA à verser à A______ 300 fr. à titre de restitution des frais judiciaires du recours et 1'120 fr. à titre de dépens du recours. Condamne B______ SA à verser 200 fr. aux Services financiers du Pouvoir judiciaire. Siégeant : Monsieur Laurent RIEBEN, président; Madame Fabienne GEISINGER-MARIETHOZ et Monsieur Ivo BUETTI, juges; Madame Mélanie DE RESENDE PEREIRA, greffière.</w:t>
      </w:r>
    </w:p>
    <w:p>
      <w:r>
        <w:t>Le président : Laurent RIEBEN</w:t>
      </w:r>
    </w:p>
    <w:p>
      <w:r>
        <w:t>La greffière : Mélanie DE RESENDE PEREIRA</w:t>
      </w:r>
    </w:p>
    <w:p>
      <w:r>
        <w:t>- 10/10 -</w:t>
      </w:r>
    </w:p>
    <w:p>
      <w:r>
        <w:t>C/17303/2019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