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ACJC/647/2023 vom 22. Mai 2023</w:t>
      </w:r>
    </w:p>
    <w:p>
      <w:r>
        <w:t>GE Cour de justice, 2023-05-22, FR</w:t>
      </w:r>
    </w:p>
    <w:p>
      <w:r>
        <w:rPr>
          <w:b/>
        </w:rPr>
        <w:t xml:space="preserve">Quelle: </w:t>
      </w:r>
      <w:r>
        <w:t>https://mcp.opencaselaw.ch/entscheid/ge_gerichte_ACJC_647_2023</w:t>
      </w:r>
    </w:p>
    <w:p>
      <w:r>
        <w:t>FR: GE_GERICHTE ACJC/647/2023 du 22 mai 2023</w:t>
      </w:r>
    </w:p>
    <w:p>
      <w:r>
        <w:t>IT: GE_GERICHTE ACJC/647/2023 del 22 maggio 2023</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Déposés dans les délais utiles et selon la forme prescrite par la loi (art. 130 al. 1, 131 et 311 al. 1 CPC), l'appel et l'appel joint sont recevables. Par souci de simplification, et pour respecter le rôle initial des parties devant la Cour, A______ SA sera désignée en qualité d'appelante et B______ en qualité d'intimée.</w:t>
      </w:r>
    </w:p>
    <w:p>
      <w:r>
        <w:rPr>
          <w:b/>
        </w:rPr>
        <w:t>E. 1.3</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et 58 al. 1 CPC).</w:t>
      </w:r>
    </w:p>
    <w:p>
      <w:r>
        <w:t>- 11/19 -</w:t>
      </w:r>
    </w:p>
    <w:p>
      <w:r>
        <w:t>C/1753/2019</w:t>
      </w:r>
    </w:p>
    <w:p>
      <w:r>
        <w:rPr>
          <w:b/>
        </w:rPr>
        <w:t>E. 2</w:t>
      </w:r>
    </w:p>
    <w:p>
      <w:r>
        <w:t>Les parties reprochent au Tribunal d'avoir procédé à une constatation inexacte des faits sur plusieurs points. L'état de fait présenté ci-dessus a donc été rectifié et complété dans la mesure nécessaire, sur la base des actes et pièces de la procédure.</w:t>
      </w:r>
    </w:p>
    <w:p>
      <w:r>
        <w:rPr>
          <w:b/>
        </w:rPr>
        <w:t>E. 3</w:t>
      </w:r>
    </w:p>
    <w:p>
      <w:r>
        <w:t>Le Tribunal a retenu que la vente du bien immobilier aux nouveaux acquéreurs avait impliqué un transfert du contrat d'entreprise la liant à l'appelante. Ce transfert de contrat était convenu avec effet limité dans le temps à la date du changement de parties au contrat d'entreprise (effet ex nunc). L'intimée avait dès lors la légitimation active s'agissant des prétentions nées avant le 5 avril 2018, date du transfert du contrat. L'appelante soutient que les trois parties concernées par le transfert de contrat voulaient que l'intégralité du rapport contractuel soit transférée (effet ex tunc), de sorte que l'intimée, au moment de l'ouverture de la litispendance, n'était plus partie au contrat d'entreprise et ainsi n'était plus titulaire des droits qui en découlaient. 3.1.1 La légitimation active ou passive dans un procès civil relève du fondement matériel de l'action; elle appartient au sujet (actif ou passif) du droit invoqué en justice et son absence entraîne, non pas l'irrecevabilité de la demande, mais son rejet (arrêt du Tribunal fédéral 4A_145/2016 du 19 juillet 2016 consid. 4.1). Elle s'examine d'office et librement, dans la limite des faits allégués et établis lorsque le litige est soumis à la maxime des débats (ATF 130 III 550 consid. 2; arrêt du Tribunal fédéral 4A_217/2017 du 4 août 2017 consid. 3.4.1). Il appartient au demandeur de prouver les faits desquels il tire sa qualité pour agir (art. 8 CC; ATF 123 III 60 consid. 3a). 3.1.2 Savoir si une personne est partie à un contrat s'examine à la lumière des règles générales sur la conclusion des contrats, notamment de celles relatives à l'interprétation des déclarations de volonté des parties (arrêts du Tribunal fédéral 4A_385/2017 du 28 septembre 2018 consid. 3.1; 4A_155/2017 du 12 octobre 2017 consid. 2.3). Pour déterminer quels sont les cocontractants d'une relation contractuelle, le juge doit interpréter les manifestations de volonté. Il doit rechercher, dans un premier temps, la réelle et commune intention des parties (interprétation subjective), le cas échéant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w:t>
      </w:r>
    </w:p>
    <w:p>
      <w:r>
        <w:t>- 12/19 -</w:t>
      </w:r>
    </w:p>
    <w:p>
      <w:r>
        <w:t>C/1753/2019 (ATF 118 II 365 consid. 1; 112 II 337 consid. 4a). L'appréciation de ces indices concrets par le juge, selon son expérience générale de la vie, relève du fait (ATF 118 II 365 consid. 1; pour un résumé de la jurisprudence sur l'interprétation, cf. arrêts du Tribunal fédéral 4A_508/2016 du 16 juin 2017 consid. 6.2, non publié aux ATF 143 III 348; 4A_98/2016 du 22 août 2016 consid. 5.1; 4A_608/2016 du 30 mai 2017 consid. 2.4).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4A_210/2015 du 2 octobre 2015 consid. 6.2.1; 5C_252/2004 du 30 mai 2005 consid. 4.3)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ATF 118 II 365 consid. 1). Ce principe permet d'imputer à une partie le sens objectif de sa déclaration ou de son comportement, même si celui-ci ne correspond pas à sa volonté intime (ATF 130 III 417 consid. 3.2). Les circonstances déterminantes à cet égard sont uniquement celles qui ont précédé ou accompagné la manifestation de volonté, mais non pas les événements postérieurs (ATF 133 III 61 consid. 2.2.1; arrêt du Tribunal fédéral 4A_155/2017 du 12 octobre 2017 consid. 2.3). Ainsi,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III 93 consid. 5.2).</w:t>
      </w:r>
    </w:p>
    <w:p>
      <w:r>
        <w:t>- 13/19 -</w:t>
      </w:r>
    </w:p>
    <w:p>
      <w:r>
        <w:t>C/1753/2019 3.1.3 La reprise de contrat n'est pas réglée expressément par le Code des obligations. Selon la jurisprudence, il ne s'agit pas de la simple combinaison d'une cession de créance et d'une reprise de dette mais d'un contrat sui generis (arrêt du Tribunal fédéral 4A_650/2014 du 5 juin 2015 consid. 6.1), qui n'est soumis à aucune forme particulière. Elle peut intervenir par actes concluants (arrêt du Tribunal fédéral 4D_97/2009 consid. 2.3.2). Une manifestation de volonté tacite ne peut cependant être retenue qu'en présence d'un comportement univoque, dont l'interprétation ne suscite raisonnablement aucun doute (ATF 123 III 53 consid. 5a; ATF 113 II 522 consid. 5c). Ainsi, les actes concluants doivent témoigner avec précision et certitude de l'intention des parties, en ce qui concerne la nouvelle partie contractante, de prendre la place de la partie contractante originaire, et, s'agissant de l'autre partie, d'admettre le tiers et de libérer l'ancienne contractante (ATF 47 II 416 consid. 2b in JdT 1922 I p. 72; arrêt du TC VD du 15.12.1999 in RSJ 2001 p. 328). Si la forme écrite est utilisée, la déclaration de la partie sortante doit être adressée au nouveau cocontractant et contenir (au moins) tous les points objectivement et subjectivement essentiels du transfert, à savoir la volonté de céder au nouveau cocontractant sa place dans le contrat de base (FAVRE, Le transfert conventionnel de contrat : analyse théorique et pratique, 2005, n. 795, p. 291). La reprise de contrat suppose l'accord de tous les intéressés (arrêt du Tribunal fédéral 4A_650/2014 du 5 juin 2015 consid. 6.1). Par la reprise de contrat (Vertragsübernahme), il y a transfert de l'intégralité du rapport contractuel avec tous les droits et obligations y relatifs d'une partie contractante à un tiers qui se substitue à celle-ci (arrêt du Tribunal fédéral 4A_650/2014 du 5 juin 2015 consid. 6.1; PROBST, Commentaire romand, Code des obligations I, 3ème éd. 2021, n. 10 ad art. 164 CO). Le transfert de contrat opère ainsi une succession. Cela signifie que le contrat de base conserve son contenu, tel qu'il existe au moment du transfert, nonobstant le changement de partie; autrement dit, le nouveau contractant se retrouve soumis aux même règles de comportement que la partie sortante, qu'elles découlent de la volonté des parties originaires ou de la loi. C'est l'application du principe d'identité (FAVRE, op. cit., n. 126, p. 33). Le nouveau cocontractant devient titulaire des créances, droits formateurs, droits accessoires et incombances prévus par le contrat de base ou la loi. Il a la qualité de "partie" (FAVRE, op. cit., n. 1465, p. 528). 3.1.4 En cas de transfert illimité de contrat, le nouveau cocontractant prend la place de la partie sortante dans le contrat de base également pour la période précédant le transfert; il assume ainsi toutes les obligations et acquiert tous les droits qui ont pris naissance à partir de la conclusion du contrat de base (arrêts du Tribunal fédéral 4A_508/2016 du 16 juin 2016 consid. 6.1 non publié in ATF 143 III 348; 4A_665/2010 du 1er mars 2011 consid. 4.1). Cela signifie qu'il acquiert toutes les créances et toutes les dettes du contrat de base déjà fondées au moment du transfert, qu'elles soient conditionnelles ou inconditionnelles, déjà</w:t>
      </w:r>
    </w:p>
    <w:p>
      <w:r>
        <w:t>- 14/19 -</w:t>
      </w:r>
    </w:p>
    <w:p>
      <w:r>
        <w:t>C/1753/2019 exigibles, échues ou simplement exécutables, sans égard à la question de savoir s'il a été ou non correctement renseigné par la partie sortante sur l'existence de celles-ci (FAVRE, op. cit., n. 1466, p. 528-529). Dans ce cas, le restant n'est libéré que s'il preste au nouveau cocontractant (FAVRE, op. cit., n. 1470, p. 530). Dans le transfert limité de contrat, le nouveau cocontractant remplace la partie sortante dans le contrat de base uniquement pour la période postérieure au transfert (arrêts du Tribunal fédéral 4A_508/2016 du 16 juin 2016 consid. 6.1 non publié in ATF 143 III 348; 4A_665/2010 du 1er mars 2011 consid. 4.1). Déterminer si un transfert de contrat conventionnel est illimité ou limité est affaire d'interprétation (arrêts du Tribunal fédéral 4A_665/2010 du 1er mars 2011 consid. 4.1 et 4A_79/2010 du 29 avril 2010 consid. 2.4; FAVRE, op. cit., n. 111, p. 28). Selon la jurisprudence du Tribunal fédéral relative aux contrats de reprise dans les relations tripartites, ce sont en premier lieu les intérêts présumés de la partie reprenant le contrat (le nouveau contractant) qui sont déterminants en cas de doute. Mais cette jurisprudence retient également qu'en cas de transfert de contrats de durée, l'intérêt de la partie reprenante plaide en principe pour un transfert de contrat limité dans le temps (arrêts du Tribunal fédéral 4A_359/2018 du 30 janvier 2019 consid. 3.5.1; 4A_30/2017 du 4 juillet 2017 consid. 4.1; 4A_311/2011 du 19 juillet 2011 consid. 3.1.2; 4A_665/2010 du 1er mars 2011 consid. 4.1; FAVRE, op. cit., n. 111 et 113, p. 29). Lorsque le contrat de base est simple, c'est-à-dire lorsqu'il met à la charge d'une ou de chacune des parties une prestation unique et isolée dans le temps – à l'instar du contrat d'entreprise (arrêt du Tribunal fédéral 4C_387/2001 du 10 septembre 2002 consid. 3.1), le nouveau cocontractant a un intérêt évident à convenir d'un transfert illimité. Dans ce cas, le nouveau cocontractant ne peut que souhaiter acquérir la (seule) créance découlant du contrat de base (FAVRE, op. cit., n. 112, p. 29). Le nouveau contractant cherchera à occuper une position sûre et indépendante; il devra pour cela non seulement reprendre en plus les dettes qui en découlent, mais veiller en personne au respect des incombances, afin de sauvegarder ses droits. Le tiers ne prête en effet pas uniquement intérêt aux prestations, mais bien au contrat qui les impose et seul peut y répondre un transfert, qui le rend juridiquement maître de la relation contractuelle dans son ensemble (FAVRE, op. cit., n. 513 p. 175-176). La preuve d'un intérêt contraire demeure réservée (FAVRE, op. cit., n. 112, p. 29). 3.1.5 Si le transfert se réalise avant la création du lien d'instance et que la partie sortante introduit la demande nonobstant le transfert, il faut présumer que le procès a été introduit par une personne qui ne dispose pas de la légitimation active (FAVRE, op. cit., n. 1685, p. 601-602).</w:t>
      </w:r>
    </w:p>
    <w:p>
      <w:r>
        <w:t>- 15/19 -</w:t>
      </w:r>
    </w:p>
    <w:p>
      <w:r>
        <w:t>C/1753/2019</w:t>
      </w:r>
    </w:p>
    <w:p>
      <w:r>
        <w:rPr>
          <w:b/>
        </w:rPr>
        <w:t>E. 3.2</w:t>
      </w:r>
    </w:p>
    <w:p>
      <w:r>
        <w:t>En l'espèce, les parties ne contestent plus qu'elles ont souhaité transférer le contrat d'entreprise aux nouveaux acquéreurs, lesquels ont accepté le transfert. Cette question ne sera dès lors pas réexaminée. Afin de pouvoir déterminer si l'intimée détient la légitimation active pour les prétentions découlant du contrat d'entreprise qu'elle soulève, il y a lieu de répondre à la question de savoir quel effet (limité ou illimité) les parties et les nouveaux acquéreurs ont souhaité donner à ce transfert de contrat.</w:t>
      </w:r>
    </w:p>
    <w:p>
      <w:r>
        <w:rPr>
          <w:b/>
        </w:rPr>
        <w:t>E. 3.2.1</w:t>
      </w:r>
    </w:p>
    <w:p>
      <w:r>
        <w:t>Du côté de l'intimée, le courriel adressé à l'appelante le 15 février 2018 par lequel l'intimée a informé l'appelante du fait qu'elle avait trouvé des acheteurs pour l'appartement et lui a demandé si ceux-ci pouvait encore changer les parquets et la salle de bain, ne suffit pas à en déduire sa volonté que le transfert déploie un effet illimité. S'agissant des échanges de courriels entre les nouveaux acquéreurs et l'appelante des 26 et 28 mars 2018 concernant l'exclusion de responsabilité des premiers en lien avec le litige entre les parties, dont une copie était adressée à l'intimée, ils ne permettent pas non plus de déterminer la volonté interne de cette dernière. En effet, l'intimée n'ayant pas réagi à cet échange, son silence ne peut être interprété en faveur de l'un ou l'autre des effets possibles d'un transfert de contrat. En revanche, dans le cadre des négociations du contrat de vente du</w:t>
      </w:r>
    </w:p>
    <w:p>
      <w:r>
        <w:rPr>
          <w:b/>
        </w:rPr>
        <w:t>E. 5</w:t>
      </w:r>
    </w:p>
    <w:p>
      <w:r>
        <w:t>avril 2018, l'intimée avait expressément demandé à son précédent conseil qu'il fasse en sorte qu'elle puisse poursuivre l'appelante en raison des retards de livraison. Il en découle que, dans son for intérieur, l'intimée souhaitait que le transfert de contrat déploie un effet limité puisqu'elle voulait garder les droits et obligations découlant du contrat d'entreprise nés avant le transfert. Elle a verbalisé son souhait auprès de son précédent conseil, lequel a fait mentionner dans le contrat de vente aux nouveaux acquéreurs une clause d'exclusion de garantie indiquant que les nouveaux acquéreurs déclaraient connaître l'existence du litige opposant l'intimée à l'appelante. Du côté de l'appelante, le protocole du 15 mars 2018 indique que les droits et obligations du maître de l'ouvrage, à savoir l'intimée, passaient aux nouveaux acquéreurs. Dans la mesure où aucune date n'était précisée s'agissant des effets du transfert, dans l'intérêt et la perspective interne de l'appelante, l'intégralité des rapports contractuels entre les parties était transférée de l'intimée aux nouveaux acquéreurs. Ceci est corroboré par le courriel du 28 mars 2018 de l'appelante aux nouveaux acquéreurs, dont une copie était adressée à l'intimée. En effet, elle y indique que le litige l'opposant à l'intimée avait porté sur le délai de livraison et que, compte tenu de la revente de l'appartement, la livraison n'était plus un problème et qu'il n'y avait ainsi aucune raison pour qu'un litige subsiste entre elles, étant rappelé que les nouveaux acquéreurs et l'appelante avait convenu d'un nouveau délai de livraison. Le fait que l'appelante précise dans ce même courriel que, même à supposer qu'un différend subsiste "pour des raisons inconnues" entre</w:t>
      </w:r>
    </w:p>
    <w:p>
      <w:r>
        <w:t>- 16/19 -</w:t>
      </w:r>
    </w:p>
    <w:p>
      <w:r>
        <w:t>C/1753/2019 elle et l'intimée, celui-ci ne saurait impliquer les nouveaux acquéreurs, confirme la volonté de l'appelante que le transfert de contrat déploie un effet illimité. Il résulte de ce qui précède que les parties, bien qu'ayant manifesté une volonté commune de transférer le contrat d'entreprise aux nouveaux acquéreurs, ne se sont pas comprises sur l'effet que déploierait ce transfert, désaccord dont elles n'étaient pas conscientes au début, chacune des parties pensant que l'autre avait compris sa propre volonté interne laquelle ne correspondait pas à la volonté de l'autre partie. Il y a par conséquent un désaccord latent entre elles et le contrat est conclu dans le sens objectif que l'on peut donner à leurs déclarations de volonté selon le principe de la confiance, étant rappelé que les intérêts présumés des nouveaux contractants sont déterminants en cas de doute. A ce propos, le contrat de base étant un contrat d'entreprise et celui-ci n'étant pas un contrat de durée mais un contrat dit "simple", les nouveaux cocontractants ont davantage intérêt à convenir d'un transfert avec effet illimité, ce afin de pouvoir, par exemple, procéder à un avis des défauts sur la partie déjà construite de l'immeuble au moment du transfert compte tenu de l'exclusion de garanties prévue dans le contrat de vente. La preuve d'un intérêt contraire n'a de surcroît pas été apportée par l'intimée. En effet, le fait que le contrat de vente du 5 avril 2018 indique qu'il n'existe aucun litige ou procès en cours en lien avec l'immeuble sous réserve du litige opposant l'appelante et l'intimée que les nouveaux acquéreurs déclaraient connaître, ne permet pas d'en déduire que le transfert de contrat déploiera un effet limité. La formulation choisie est en effet peu claire, l'existence d'un litige entre des parties et le fait que les nouveaux acquéreurs déclarent le connaître ne signifiant pas nécessairement que ledit litige devrait perdurer, entre ces mêmes parties, après la signature du contrat de vente et faire l'objet d'une procédure judiciaire. De même, et comme relevé plus haut, aucun élément du texte du protocole d'accord du 15 mars 2018 ne permet d'en déduire que le transfert aurait un effet limité. Par conséquent, le sens objectif des déclarations des parties qu'il y a lieu de retenir, correspondant à l'intérêt des nouveaux acquéreurs, consiste en un transfert du contrat d'entreprise en leur faveur avec effet illimité dans le temps. Partant, toutes les prétentions découlant du contrat d'entreprise du 13 juin 2016, sont passées en mains des nouveaux acquéreurs lors de la conclusion du contrat de vente du 5 avril 2018, y compris celles nées avant cette date, étant rappelé que ladite vente constituait une condition nécessaire à l'accord de l'appelante au transfert de contrat selon le protocole d'accord du 15 mars 2018 sollicitée par l'intimée, de sorte que celle-ci ne dispose plus de la légitimation active pour agir sur cette base contre l'appelante. Le grief étant fondé, le jugement querellé sera annulé et l'intimée sera déboutée de l'intégralité de ses conclusions.</w:t>
      </w:r>
    </w:p>
    <w:p>
      <w:r>
        <w:t>- 17/19 -</w:t>
      </w:r>
    </w:p>
    <w:p>
      <w:r>
        <w:t>C/1753/2019 4. 4.1 Lorsque l'instance d'appel statue à nouveau, elle se prononce sur les frais de première instance (art. 318 al. 3 CPC). Le montant des frais judiciaires de première instance, arrêté à 15'191 fr. 15 par le Tribunal, n'est pas contesté en appel. Fixé en conformité avec les dispositions légales applicables en la matière (art. 95 al. 1 let. a et al. 2, 104 al. 1, 105 al. 1 CPC; art. 5, 13, 15, 17, 77 et 78 RTFMC), il sera confirmé. Compte tenu de l'issue du litige, les frais judiciaires seront mis à charge de l'intimée qui succombe (art. 106 al. 1, 1ère phrase CPC). Ces frais seront compensés avec les avances fournies par les parties (300 fr. pour l'appelante; 15'520 fr. pour l'intimée), qui restent acquises à l'Etat de Genève (art. 111 al. 1 CPC). Les Services financiers du Pouvoir judiciaire seront invités à restituer à l'appelante 300 fr. et 338 fr. 85 à l'intimée. Les dépens de première instance seront arrêtés à 13'475 fr., montant fixé par le Tribunal, lequel n'est pas contesté par les parties (art. 95 al. 1 let. b et al. 3, 96 et 105 al. 2 CPC). L'intimée, qui succombe, sera en conséquence condamnée à verser ce montant à l'appelante au titre de dépens de première instance (art. 106 al. 1, 1ère phrase et 111 al. 2 CPC). 4.2 Les frais judiciaires d'appel et d'appel joint seront arrêtés à 6'300 fr. (art. 95 al. 1 let. a et al. 2, 104 al. 1 et 105 al. 1 CPC; art. 5, 17 et 35 RTFMC), compensés avec les avances de frais fournies par les parties (4'500 fr. pour l'appelante et 1'800 fr. pour l'intimée), acquises à l'Etat de Genève (art. 111 al. 1 CPC). Les frais judiciaires d'appel et d'appel joint seront mis à la charge de l'intimée qui succombe sur les deux appels (art. 106 al. 1, 1ère phrase CPC). Celle-ci sera en conséquence condamnée à verser 4'500 fr. à l'appelante au titre de remboursement des frais judiciaires d'appel (art. 111 al. 2 CPC). Les dépens d'appel et d'appel joint seront arrêtés à 7'000 fr., débours et TVA inclus (art. 95 al. 1 let. b et al. 3, 96 et 105 al. 2 CPC; art. 84, 85 et 90 RTFMC, 25 et 26 LaCC). L'intimée, qui succombe intégralement, sera en conséquence condamnée à verser ce montant à l'appelante au titre de dépens d'appels (art. 106 al. 1, 1ère phrase et 111 al. 2 CPC). * * * * *</w:t>
      </w:r>
    </w:p>
    <w:p>
      <w:r>
        <w:t>- 18/19 -</w:t>
      </w:r>
    </w:p>
    <w:p>
      <w:r>
        <w:t>C/1753/2019 PAR CES MOTIFS, La Chambre civile : A la forme : Déclare recevable l'appel interjeté le 27 juin 2022 par A______ SA contre le jugement JTPI/6337/2022 rendu le 24 mai 2022 par le Tribunal de première instance dans la cause C/1753/2019. Déclare recevable l'appel joint interjeté le 3 octobre 2022 par B______ contre ce même jugement. Au fond : Annule le jugement entrepris. Cela fait et statuant à nouveau : Déboute B______ de toutes ses conclusions. Arrête les frais judiciaires de première instance à 15'191 fr. 15, les met à la charge de B______ et les compense avec les avances de frais fournies par les parties, qui demeurent acquises à l'Etat de Genève. Invite les Services financiers du Pouvoir judiciaire à restituer 300 fr. à A______ SA. Invite les Services financiers du Pouvoir judiciaire à restituer 338 fr. 85 à B______. Condamne B______ à verser 13'475 fr. à A______ SA à titre de dépens de première instance. Sur les frais d'appel : Arrête les frais judiciaires d'appel et d'appel joint à 6'300 fr., les met à la charge de B______ et les compense avec les avances de frais fournies par les parties, qui demeurent acquises à l'Etat de Genève.</w:t>
      </w:r>
    </w:p>
    <w:p>
      <w:r>
        <w:t>- 19/19 -</w:t>
      </w:r>
    </w:p>
    <w:p>
      <w:r>
        <w:t>C/1753/2019 Condamne B______ à verser 4'500 fr. à A______ SA au titre de remboursement des frais judiciaires d'appel. Condamne B______ à verser 7'000 fr. à A______ SA au titre de dépens d'appels.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