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ACJC/647/2013 vom 18. Oktober 2012</w:t>
      </w:r>
    </w:p>
    <w:p>
      <w:r>
        <w:t>GE Cour de justice, 2012-10-18, FR</w:t>
      </w:r>
    </w:p>
    <w:p>
      <w:r>
        <w:rPr>
          <w:b/>
        </w:rPr>
        <w:t xml:space="preserve">Quelle: </w:t>
      </w:r>
      <w:r>
        <w:t>https://mcp.opencaselaw.ch/entscheid/ge_gerichte_ACJC_647_2013</w:t>
      </w:r>
    </w:p>
    <w:p>
      <w:r>
        <w:t>FR: GE_GERICHTE ACJC/647/2013 du 18 octobre 2012</w:t>
      </w:r>
    </w:p>
    <w:p>
      <w:r>
        <w:t>IT: GE_GERICHTE ACJC/647/2013 del 18 ottobre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procédure de recours est régie par le nouveau droit de procédure.</w:t>
      </w:r>
    </w:p>
    <w:p>
      <w:r>
        <w:t>En revanche, dès lors que la demande de l'appelante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rPr>
          <w:b/>
        </w:rPr>
        <w:t>E. 2</w:t>
      </w:r>
    </w:p>
    <w:p>
      <w:r>
        <w:t>Le jugement attaqué constitue une décision finale de première instance (art. 308 al. 1 let. a CPC). La valeur litigieuse étant supérieure à 10'000 fr., la voie de l'appel est ouverte (art. 308 al. 2 CPC). Interjetés dans les délais et la forme prescrits par la loi (art. 130, 131, 311 al. 1, 312 al. 2, art. 313 al. 1 CPC), les appels principal et joint sont recevables.</w:t>
      </w:r>
    </w:p>
    <w:p>
      <w:r>
        <w:t>La Cour revoit la cause avec un plein pouvoir d’examen (art. 310 CPC). Elle applique la maxime des débats et le principe de disposition (art. 55 al. 1 et 58 al. 1 CPC).</w:t>
      </w:r>
    </w:p>
    <w:p>
      <w:r>
        <w:rPr>
          <w:b/>
        </w:rPr>
        <w:t>E. 3</w:t>
      </w:r>
    </w:p>
    <w:p>
      <w:r>
        <w:t>Le litige présente un élément d'extranéité, les demandeurs ayant leur domicile en Espagne.</w:t>
      </w:r>
    </w:p>
    <w:p>
      <w:r>
        <w:t>Compte tenu de la date du dépôt de la demande en 2010, la Convention de Lugano concernant la compétence judiciaire et l'exécution des décisions en matière civile du 16 septembre 1988 (aCL; RO 1991 p. 2436) reste applicable à la présente</w:t>
      </w:r>
    </w:p>
    <w:p>
      <w:r>
        <w:t>- 16/28 -</w:t>
      </w:r>
    </w:p>
    <w:p>
      <w:r>
        <w:t>C/1638/2010 action, en vertu de l'art. 63 al. 1 de la Convention de Lugano révisée du 30 octobre 2007 (RS 0.275.12).</w:t>
      </w:r>
    </w:p>
    <w:p>
      <w:r>
        <w:t>La Cour de justice est compétente ratione loci en vertu de l'attribution de compétence en faveur des tribunaux genevois prévue dans la convention du 25 avril 2008 (art. 23 de ladite convention; art. 17 al. 1 aCL). Le droit suisse, élu par les parties, est applicable (art. 23 de la convention du 25 avril 2008; art. 116 LDIP).</w:t>
      </w:r>
    </w:p>
    <w:p>
      <w:r>
        <w:rPr>
          <w:b/>
        </w:rPr>
        <w:t>E. 4</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Les voies de droit du nouveau code de procédure civile, in JdT 2010 III 138).</w:t>
      </w:r>
    </w:p>
    <w:p>
      <w:r>
        <w:t>En l'espèce, l'appelante a produit des nouvelles pièces datant de 2008 et 2009 en vue de prouver, selon ses explications, des faits déjà allégués devant le Tribunal - à savoir la différence de masse salariale (pièces nos 79 et 80) et le fait que la production des plats b______ [type de mets] a été sous-traitée après la reprise des sociétés (pièces nos 81 et 82) -, dont elle ne pouvait ignorer qu'elle en supportait la charge de la preuve. Dans la mesure où les pièces nos 79 à 82 auraient pu être produites en première instance, elles doivent être écartées de la procédure. Au demeurant, les faits que ces documents tendent à prouver ne sont pas pertinents pour l'issue du litige.</w:t>
      </w:r>
    </w:p>
    <w:p>
      <w:r>
        <w:t>L'allégué nouveau des intimés, selon lequel ils auraient remis des garanties de loyer à l'appelante, est également irrecevable, dès lors qu'il aurait dû être exposé devant le Tribunal.</w:t>
      </w:r>
    </w:p>
    <w:p>
      <w:r>
        <w:rPr>
          <w:b/>
        </w:rPr>
        <w:t>E. 5</w:t>
      </w:r>
    </w:p>
    <w:p>
      <w:r>
        <w:t>L'appelante reproche aux intimés de n'avoir pas respecté les garanties prévues dans la convention du 25 avril 2008 et de lui avoir ainsi causé un important dommage. Selon elle, elle était ainsi en droit d'appeler la garantie bancaire émise en réparation de ce préjudice. Elle formule en outre des prétentions supplémentaires pour le solde du dommage non couvert par les versements perçus de X______.</w:t>
      </w:r>
    </w:p>
    <w:p>
      <w:r>
        <w:t>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w:t>
      </w:r>
    </w:p>
    <w:p>
      <w:r>
        <w:t>- 17/28 -</w:t>
      </w:r>
    </w:p>
    <w:p>
      <w:r>
        <w:t>C/1638/2010 adéquate) et un dommage (arrêt du Tribunal fédéral 4A_90/2011 du 22 juin 2011 consid. 2.2.2).</w:t>
      </w:r>
    </w:p>
    <w:p>
      <w:r>
        <w:rPr>
          <w:b/>
        </w:rPr>
        <w:t>E. 6</w:t>
      </w:r>
    </w:p>
    <w:p>
      <w:r>
        <w:t>L'appelante fait d'abord grief aux intimés de ne pas avoir respecté la convention en tant qu'elle prévoyait, selon elle, la régularisation des employés dépourvus d'autorisation de séjour et de travail au jour du transfert des parts sociales, soit au 1er septembre 2008. Les intimés contestent cette interprétation de la convention. A leur avis, l'art. 8.15, deuxième phrase, de la convention - "Les sociétés ont respecté toutes législations et règlements relatifs à leurs employés, lesquels sont tous en situation régulière de travail" - se référait au fait que les salaires et les charges sociales des employés avaient été payés et qu'ils étaient en règle fiscalement.</w:t>
      </w:r>
    </w:p>
    <w:p>
      <w:r>
        <w:rPr>
          <w:b/>
        </w:rPr>
        <w:t>E. 6.1</w:t>
      </w:r>
    </w:p>
    <w:p>
      <w:r>
        <w:t>L'art. 18 al. 1 CO prévoit qu'en présence d'un litige sur l'interprétation du contrat, le juge doit s'efforcer de déterminer la commune et réelle intention des parties, sans s'arrêter aux expressions ou dénominations inexactes dont elles ont pu se servir, soit par erreur, soit pour déguiser la nature véritable de la convention (ATF 131 III 606 consid. 4.1; 128 III 419 consid. 2.2).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 la qualification, l'interprétation et le complément, in Le contrat dans tous ses états, 2004, p. 271).</w:t>
      </w:r>
    </w:p>
    <w:p>
      <w:r>
        <w:rPr>
          <w:b/>
        </w:rPr>
        <w:t>E. 6.2</w:t>
      </w:r>
    </w:p>
    <w:p>
      <w:r>
        <w:t>En l'espèce, certes, le terme "en situation régulière de travail" peut, selon une interprétation littérale, faire référence au respect des normes de la police des étrangers. Toutefois, il ressort de la procédure que, lors des pourparlers, les intimés ont informé l'appelante de l'existence d'employés déclarés auprès des assurances sociales et des autorités fiscales, mais dépourvus d'autorisations de séjour et de travail. L'appelante s'est alors inquiétée auprès de sa fiduciaire J______ des risques encourus si ce personnel déjà en place était conservé. Dans son rapport du 25 février 2008, J______ a répondu que des amendes pourraient être infligées. Par ailleurs, d'après les témoignages de M______ et de R______, quelques jours avant la reprise des sociétés, l'appelante a évoqué la situation de ces employés dépourvus de permis de séjour valables sans s'en offusquer. Le fait qu'elle ait ajouté, devant R______, qu'il était dommage de se séparer de ce personnel ne signifie pas encore que la situation irrégulière desdits employés au jour de la reprise était contraire aux accords des parties. L'appelante ne prouve d'ailleurs pas, ni même n'allègue, avoir sommé les intimés de régulariser la situation de ces collaborateurs, alors que la date de la reprise des sociétés était imminente. En revanche, selon les témoignages de trois membres du personnel, le 1er septembre 2008, soit au jour de la reprise, à la question d'un employé sans autorisation de séjour s'inquiétant de ce qu'il adviendrait de son emploi, l'appelante a répondu qu'elle était au courant, qu'elle avait l'habitude de ces</w:t>
      </w:r>
    </w:p>
    <w:p>
      <w:r>
        <w:t>- 18/28 -</w:t>
      </w:r>
    </w:p>
    <w:p>
      <w:r>
        <w:t>C/1638/2010 situations et que ces employés continueraient à travailler. M______, directeur d'exploitation, a sur ce point confirmé que la reprise de tous les collaborateurs par l'appelante était prévue.</w:t>
      </w:r>
    </w:p>
    <w:p>
      <w:r>
        <w:t>Enfin, si K______ a déclaré que les intimés devaient régulariser la situation du personnel "au gris" durant la période où ils devaient être à disposition de l'appelante, cette thèse n'est confirmée par aucun élément au dossier. Elle n'est d'ailleurs pas soutenue par l'appelante. Il ne sera ainsi pas tenu compte du témoignage de K______ sur ce point, dont le souvenir est en contradiction avec l'attitude adoptée par l'appelante avant et au jour de la reprise des sociétés.</w:t>
      </w:r>
    </w:p>
    <w:p>
      <w:r>
        <w:t>Dans ces circonstances, on ne saurait retenir une volonté des parties de régulariser la situation des employés dépourvus de permis de séjour et de travail en vue de la reprise des sociétés par l'appelante, d'autant qu'une telle régularisation restait au demeurant très aléatoire. Il résulte en revanche de ce qui précède que les parties se sont en réalité entendues sur l'existence de tels employés au sein du personnel de cuisine des société reprises. En prévoyant l'art. 8.15 de la convention, elles n'ont donc pas eu l'intention de se référer au respect des dispositions de la police des étrangers. Aucune violation de la convention du 25 avril 2008 ne peut ainsi être reprochée aux intimés s'agissant des membres du personnel dépourvus d'autorisations de séjour et de travail. Au demeurant, le fait que le nombre de ces employés ait pu s'avérer être plus important que celui annoncé par le vendeur ne contrevient lui non plus à aucune garantie prévue par la convention.</w:t>
      </w:r>
    </w:p>
    <w:p>
      <w:r>
        <w:rPr>
          <w:b/>
        </w:rPr>
        <w:t>E. 6.3</w:t>
      </w:r>
    </w:p>
    <w:p>
      <w:r>
        <w:t>L'appelante, qui continue à poursuivre l'exploitation des sociétés reprises, ne s'est prévalue que d'une violation contractuelle en relation avec le prétendu manquement des intimés. Elle a en effet fondé ses prétentions sur l'art. 11.2 de la convention, libellé comme suit : "Les vendeurs s'engagent à indemniser l'acheteuse pour toute conséquence financière, résultant de l'inexactitude, du non-respect ou de la violation des engagements et des garanties données dans la convention. L'article 199 CO demeure réservé."</w:t>
      </w:r>
    </w:p>
    <w:p>
      <w:r>
        <w:t>Dans la mesure où le juge applique le droit d'office (art. 57 CPC), il y a lieu de vérifier si les prétentions de l'appelante peuvent être fondées au regard d'autres dispositions du droit des obligations, et plus particulièrement des art. 197 ss CO relatifs à la garantie en raison des défauts de la chose vendue.</w:t>
      </w:r>
    </w:p>
    <w:p>
      <w:r>
        <w:t>L'art. 199 CO prévoit que toute clause qui supprime ou restreint une telle garantie est nulle si le vendeur a frauduleusement dissimulé à l’acheteur les défauts de la chose. En réservant l'application de cette disposition, la convention du 25 avril 2008 semble ainsi contenir une exclusion des règles sur la garantie des défauts (art. 197 ss CO). Le fait que l'appelante, assistée par un avocat, ne se soit pas prévalue des dispositions sur la garantie en raison des défauts vient d'ailleurs conforter cette interprétation. Cette question, qui n'a pas été discutée par les</w:t>
      </w:r>
    </w:p>
    <w:p>
      <w:r>
        <w:t>- 19/28 -</w:t>
      </w:r>
    </w:p>
    <w:p>
      <w:r>
        <w:t>C/1638/2010 parties, peut toutefois restée indécise, dès lors que, même si les parties n'avaient pas souhaité exclure l'application des art. 197 ss CO, l'appelante serait déchue de ses droits pour les motifs qui suivent.</w:t>
      </w:r>
    </w:p>
    <w:p>
      <w:r>
        <w:t>L'acheteur doit signaler immédiatement les défauts de la chose, sous réserve d'un bref délai de réaction (art. 201 CO; VENTURI/ZEN-RUFFINEN, in Commentaire romand, CO I, 2ème édition, 2012, nos 15 et 16 ad art. 201 CO). Si l'avis n'est pas donné sans délai pour les défauts apparents (art. 201 al. 1 CO) ou immédiatement dès leur découverte pour les défauts cachés, la chose est tenue pour acceptée (art. 201 al. 2 et 3 CO), avec ses défauts. La loi crée donc une fiction d'acceptation, dont l'effet est la déchéance des droits à la garantie, y compris l'action en dommages-intérêts pour le dommage consécutif au défaut (VENTURI/ZEN-RUFFINEN, op. cit., n° 18 ad art. 201 CO).</w:t>
      </w:r>
    </w:p>
    <w:p>
      <w:r>
        <w:t>En l'espèce, l'appelante a allégué, sans toutefois le prouver, qu'elle a informé, à l'automne 2008, les intimés des problèmes ayant surgi à la suite de l'interpellation des deux salariés par la police, ce que les intimés contestent. Selon eux, ils n'ont été avertis de ces questions qu'en mars 2009. Il résulte de la procédure que les intimés ont été informés des problèmes liés aux salariés "au gris" pour la première fois par courrier du 3 mars 2009, soit quatre mois et demi après que l'appelante a, soi-disant, appris l'existence d'employés dépourvus d'autorisations de séjour et de travail. Dans ces circonstances, un avis parvenu quatre mois et demi après la découverte d'un défaut doit être considéré comme tardif. L'appelante est donc déchue des droits découlant d'une éventuelle garantie en raison des défauts.</w:t>
      </w:r>
    </w:p>
    <w:p>
      <w:r>
        <w:t>Il importe peu que les intimés n'aient pas explicitement invoqué les conséquences de la tardiveté de l'avis, au sens de l'art. 201 CO; les faits pertinents ayant été allégués, le juge doit appliquer le droit fédéral d'office (ATF 131 III 145 consid. 7.3, in JdT 2007 I 261).</w:t>
      </w:r>
    </w:p>
    <w:p>
      <w:r>
        <w:rPr>
          <w:b/>
        </w:rPr>
        <w:t>E. 6.4</w:t>
      </w:r>
    </w:p>
    <w:p>
      <w:r>
        <w:t>Par conséquent, tous les postes du dommages résultant du licenciement des employés dépourvus d'autorisation de séjour et de travail, fussent-ils établis, ne sauraient être imputables aux intimés. C'est donc à bon droit que le Tribunal a écarté les prétentions de l'appelante relatives aux indemnités versées après l'intervention de S______ (49'500 fr. + 59'523 fr. 27), aux frais de recrutement du nouveau personnel (8'000 fr.), à ceux correspondant au travail supplémentaire du personnel engendré par la situation des employés en situation irrégulière (14'200 fr.), à la différence de masse salariale et à l'augmentation des coûts de matière première (214'000 fr.), aux honoraires d'avocat (54'018 fr. 20), aux frais de déplacements des représentants de la société mère de l'appelante dans le cadre de la gestion du conflit avec les employés congédiés (5'082 € 35) et à la perte d'exploitation consécutive aux remous provoqués par les licenciements (916'848 fr.).</w:t>
      </w:r>
    </w:p>
    <w:p>
      <w:r>
        <w:t>- 20/28 -</w:t>
      </w:r>
    </w:p>
    <w:p>
      <w:r>
        <w:t>C/1638/2010</w:t>
      </w:r>
    </w:p>
    <w:p>
      <w:r>
        <w:rPr>
          <w:b/>
        </w:rPr>
        <w:t>E. 7</w:t>
      </w:r>
    </w:p>
    <w:p>
      <w:r>
        <w:t>L'appelante soutient qu'une partie des indemnités versées aux employés licenciés comprennent des prestations qui étaient dues à ces derniers pour la période précédant la reprise des sociétés le 1er septembre 2008.</w:t>
      </w:r>
    </w:p>
    <w:p>
      <w:r>
        <w:t>La convention prévoyait qu'au 1er septembre 2008, les sociétés avaient payé tous les montants dus à leurs employés actuels ou passés selon les termes de leur contrat de travail respectif (art. 8.15 de la convention).</w:t>
      </w:r>
    </w:p>
    <w:p>
      <w:r>
        <w:t>Il résulte de la procédure que les sommes de 49'500 fr. et 59'523 fr. 27 versées en faveur des employés licenciés correspondent aux salaires dus durant le délai de congé, au rajustement des salaires des mois de septembre 2008 et suivants aux minimas prévus par la convention collective de travail et à la part du treizième salaire due pour la période postérieure au 1er septembre 2008. Les indemnités précitées concernent donc uniquement des prétentions nées après la reprise des sociétés par l'appelante. Si, lors des négociations ayant abouti au versement de la seconde indemnité en 59'523 fr. 27, S______ a également réclamé des arriérés de salaire, des heures supplémentaires et des vacances non payées se rapportant à une période antérieure au 1er septembre 2008, l'appelante ne fournit aucun élément pour établir la légitimité de ces prétentions. Elle-même a d'ailleurs relevé, lors des pourparlers avec S______, que ces dernières n'étaient étayées par aucune pièce. Elle a enfin accepté de payer, à bien plaire, un montant de 59'523 fr. 27 sans toutefois reconnaître une quelconque obligation à cet égard. Enfin, il résulte du rapport du 25 février 2008 rédigé par J______ que les contrats de travail liant les employés aux sociétés détenues alors par les intimés respectaient la convention collective de travail pour les hôtels, restaurants et cafés.</w:t>
      </w:r>
    </w:p>
    <w:p>
      <w:r>
        <w:t>L'argument de l'appelante doit en conséquence être rejeté.</w:t>
      </w:r>
    </w:p>
    <w:p>
      <w:r>
        <w:rPr>
          <w:b/>
        </w:rPr>
        <w:t>E. 8</w:t>
      </w:r>
    </w:p>
    <w:p>
      <w:r>
        <w:t>L'appelante reproche aux intimés de ne pas avoir renouvelé l'autorisation pour vendre l'alcool, laquelle était échue depuis le mois d'avril 2007. Selon elle, elle a subi un manque à gagner de 1'188 fr. du fait qu'elle n'a pas pu vendre d'alcool durant un mois, soit durant la majorité du mois de septembre et le début du mois d'octobre 2008.</w:t>
      </w:r>
    </w:p>
    <w:p>
      <w:r>
        <w:t>Il n'est pas contesté qu'au moment du transfert des parts sociales à l'appelante, l'autorisation de vendre de l'alcool délivrée aux intimés n'était plus valable. Certes, cet élément constitue une violation à l'art. 8.12 de la convention, par lequel les vendeurs garantissaient que les activités des sociétés étaient exercées en conformité avec les lois et règlements en vigueur, ainsi qu'avec les permis, autorisations et approbations. Néanmoins, le lien de causalité entre cette violation contractuelle et le dommage allégué fait défaut, dès lors que l'autorisation pour la vente d'alcool est personnelle, ce que M______, directeur d'exploitation de l'appelante, savait. Ainsi, même si les intimés avaient renouvelé leur autorisation, l'appelante n'aurait, malgré cela, pas été en droit de vendre de l'alcool, faute</w:t>
      </w:r>
    </w:p>
    <w:p>
      <w:r>
        <w:t>- 21/28 -</w:t>
      </w:r>
    </w:p>
    <w:p>
      <w:r>
        <w:t>C/1638/2010 d'avoir elle-même entrepris les démarches nécessaires pour obtenir une autorisation. Au demeurant, l'appelante ne prouve pas la date à partir de laquelle elle a précisément obtenu ce permis de vente. Elle ne démontre pas non plus l'absence totale de bénéfice pour le mois de septembre 2008, puisqu'elle ne produit que des décomptes relatifs aux mois d'octobre à décembre 2008.</w:t>
      </w:r>
    </w:p>
    <w:p>
      <w:r>
        <w:t>Les prétentions de l'appelante en 1'188 fr. doivent donc être rejetées.</w:t>
      </w:r>
    </w:p>
    <w:p>
      <w:r>
        <w:rPr>
          <w:b/>
        </w:rPr>
        <w:t>E. 9</w:t>
      </w:r>
    </w:p>
    <w:p>
      <w:r>
        <w:t>Dans la mesure où les intimés n'assument aucune responsabilité pour les dommages allégués par l'appelante à l'appui de ses appels à la garantie bancaire des 1er juillet et 22 octobre 2009, ces derniers ne sont pas justifiés. L'appelante est en conséquence tenue de restituer les sommes de 295'111 fr. 70, plus intérêts à 5% l'an dès le 15 juillet 2009, et de 55'156 fr. 95, plus intérêts à 5% l'an dès le 4 novembre 2009, qu'elle a perçus indûment.</w:t>
      </w:r>
    </w:p>
    <w:p>
      <w:r>
        <w:t>L'appel sera donc rejeté sur ces points et les chiffres 1 et 2 du dispositif du jugement entrepris confirmés.</w:t>
      </w:r>
    </w:p>
    <w:p>
      <w:r>
        <w:rPr>
          <w:b/>
        </w:rPr>
        <w:t>E. 10</w:t>
      </w:r>
    </w:p>
    <w:p>
      <w:r>
        <w:t>L'appelante fait grief aux intimés de lui avoir remis une comptabilité lacunaire, dont le rétablissement et la correction avait requis un important travail de la part de R______ dans un premier temps, puis de la fiduciaire Y______ par la suite, ce qui lui avait causé des frais supplémentaires de 35'873 fr. 20.</w:t>
      </w:r>
    </w:p>
    <w:p>
      <w:r>
        <w:t>Selon l'art. 8.9 de la convention, les vendeurs garantissaient que tous les livres, correspondance et pièces comptables, de même que les comptes d'exploitation et les bilans, avaient été tenus de manière correcte et conservés conformément aux principes légaux et comptables déterminants.</w:t>
      </w:r>
    </w:p>
    <w:p>
      <w:r>
        <w:t>La procédure a permis d'établir que la comptabilité tenue par les intimés était correcte et complète. En effet, la fiduciaire chargée par l'appelante de la "due diligence" a constaté, dans le cadre de son intervention, que la comptabilité des sociétés vendues avait été tenue de manière régulière et appropriée, le classement des documents comptables étant réalisé de façon systématique. R______, comptable engagée par l'appelante après la reprise des sociétés, a également confirmé que la comptabilité tenue par les intimés était correcte, que la documentation qui lui avait été transmise était complète et qu'elle avait obtenu toutes les informations souhaitées. V______, comptable des intimés, a enfin également déclaré que la comptabilité des sociétés avait été tenue de manière régulière et appropriée.</w:t>
      </w:r>
    </w:p>
    <w:p>
      <w:r>
        <w:t>Aucun manquement ne peut par conséquent être reproché aux intimés. Il y donc lieu de confirmer le jugement en tant qu'il rejette les prétentions de l'appelante en 35'873 fr. 20.</w:t>
      </w:r>
    </w:p>
    <w:p>
      <w:r>
        <w:t>- 22/28 -</w:t>
      </w:r>
    </w:p>
    <w:p>
      <w:r>
        <w:t>C/1638/2010</w:t>
      </w:r>
    </w:p>
    <w:p>
      <w:r>
        <w:rPr>
          <w:b/>
        </w:rPr>
        <w:t>E. 11</w:t>
      </w:r>
    </w:p>
    <w:p>
      <w:r>
        <w:t>Le Tribunal a alloué à l'appelante une somme de 41'880 fr. 50, à titre de solde de loyer dû pour les locaux de H______ pour le premier semestre 2008, au motif que cette charge n'avait pas été provisionnée.</w:t>
      </w:r>
    </w:p>
    <w:p>
      <w:r>
        <w:t>Le loyer pour les locaux de H______ était indexé sur le chiffre d'affaires, un décompte final basé sur les comptes de la société étant par la suite émis. Selon la facture du 31 juillet 2009, le solde dû pour le loyer de l'année 2008 s'élève à 83'701 fr. 70. Les intimés ne contestent pas devoir la moitié de ce montant dès lors qu'elle se rapporte à la période antérieure au transfert des parts sociales. Ils soutiennent toutefois avoir laissé plus de 210'000 fr. dans la caisse de la société en prévision notamment du paiement des 41'850 fr. 85. Les documents, dont se prévalent les intimés pour prouver leurs dires ne permettent toutefois pas de retenir que le montant de 41'850 fr. 85 a été comptabilisé dans les comptes de la société pour l'an 2008. En effet, les comptes de pertes et profits étant des comptes d'exploitation, ils ne fournissent aucune indication sur les liquidités disponibles au bilan des sociétés au 30 juin 2008. Par ailleurs, il n'est pas possible de déterminer quel était l'état des liquidités des sociétés reprises en date du 1er septembre 2008 sur la base du bilan de D______ Sàrl au 31 décembre 2008. Au demeurant, même à supposer que des liquidités figuraient au bilan des sociétés au 31 août 2008, rien ne permet de retenir qu'elles étaient précisément destinées à couvrir le solde du loyer 2008. Enfin, et bien que l'allégué en question soit irrecevable (cf. ci-dessus consid. 4), le fait que des garanties de loyer aient pu être remises à l'appelante n'est lui non plus pas pertinent, dès lors qu'aucun indice ne plaide en faveur d'un accord des parties sur la couverture du solde du loyer 2008 par ces garanties.</w:t>
      </w:r>
    </w:p>
    <w:p>
      <w:r>
        <w:t>C'est donc à juste titre que le Tribunal a retenu que les intimés étaient redevables de la moitié de la facture en 83'701 fr. 70 du 31 juillet 2009, avec intérêt à 5% l'an dès le 6 novembre 2010. Cette date, qui n'est pas contestée, correspond au lendemain de la signification de la demande reconventionnelle aux vendeurs (art. 102 al. 1 et 104 al. 1 CO).</w:t>
      </w:r>
    </w:p>
    <w:p>
      <w:r>
        <w:t>Il y a toutefois lieu de modifier le chiffre 3 du dispositif du jugement en tant qu'il arrête par erreur le montant correspondant à la moitié de cette facture à 41'880 fr. 50 au lieu de 41'850 fr. 85. Sous réserve de cette correction, l'appel joint des intimés doit donc être rejeté.</w:t>
      </w:r>
    </w:p>
    <w:p>
      <w:r>
        <w:rPr>
          <w:b/>
        </w:rPr>
        <w:t>E. 12</w:t>
      </w:r>
    </w:p>
    <w:p>
      <w:r>
        <w:t>Enfin, l'appelante conteste devoir une rémunération pour l'activité déployée par les intimés aux sein des sociétés reprises après le 1er septembre 2008.</w:t>
      </w:r>
    </w:p>
    <w:p>
      <w:r>
        <w:t>Les parties admettent à juste titre être liées par un contrat de mandat pour les prestations effectuées par les intimés du 1er septembre au 30 novembre 2008.</w:t>
      </w:r>
    </w:p>
    <w:p>
      <w:r>
        <w:t>Selon l'art. 394 CO al. 1 et 3 CO, le mandat est un contrat par lequel le mandataire s’oblige, dans les termes de la convention, à gérer l’affaire dont il s’est chargé ou</w:t>
      </w:r>
    </w:p>
    <w:p>
      <w:r>
        <w:t>- 23/28 -</w:t>
      </w:r>
    </w:p>
    <w:p>
      <w:r>
        <w:t>C/1638/2010 à rendre les services qu’il a promis. Une rémunération est due au mandataire si la convention ou l’usage lui en assure une.</w:t>
      </w:r>
    </w:p>
    <w:p>
      <w:r>
        <w:t>L'art. 7.1 de la convention du 25 avril 2008 est libellé ainsi :</w:t>
      </w:r>
    </w:p>
    <w:p>
      <w:r>
        <w:t>"7.1 Transition des affaires des sociétés</w:t>
      </w:r>
    </w:p>
    <w:p>
      <w:r>
        <w:t>En vue d'assurer la bonne transition de la direction des affaires des sociétés, les vendeurs donneront à l'acheteuse toutes informations et tous renseignements utiles et dont ils ont la connaissance sur les sociétés. De plus, les vendeurs se tiennent à l'entière disposition de l'acheteuse pendant une durée de trois mois à compter du closing. Le montant de la rémunération des vendeurs ainsi que ses modalités feront l'objet d'une discussion ultérieure".</w:t>
      </w:r>
    </w:p>
    <w:p>
      <w:r>
        <w:t>Selon les intimés, une rémunération était due pour l'activité déployée durant les mois de septembre à novembre 2008. L'appelante soutient qu'une rémunération n'était envisageable que si les intimés avaient été amenés à exercer une charge opérationnelle importante durant les trois mois après le transfert des parts. L'appelante ayant repris en totalité la gestion opérationnelle des sociétés, les intimés n'avaient accompli que quelques travaux, lesquels étaient compris dans le prix de vente.</w:t>
      </w:r>
    </w:p>
    <w:p>
      <w:r>
        <w:t>Dès lors que l'opinion des parties diverge sur l'interprétation de l'art. 7.1 de la convention, il y a lieu de rechercher leur volonté réelle.</w:t>
      </w:r>
    </w:p>
    <w:p>
      <w:r>
        <w:t>K______ de J______ a déclaré que la mise à disposition des intimés était un souhait de l'appelante. Selon lui, les parties avaient prévu de discuter du montant et des modalités de la rémunération ultérieurement pour ne pas retarder la signature de la convention du 25 avril 2008. L'appelante a admis que, lors des pourparlers, les parties avaient évoqué une rémunération de 8'000 fr. à 10'000 fr. nets par mois et par personne dans la mesure où les vendeurs auraient été sollicités de manière équivalente à une activité à plein temps. Par ailleurs, d'après le témoignage de R______, au mois de septembre 2008, elle avait reçu comme instruction de M______, de préparer des fiches de salaire en faveur des intimés, dans la mesure où ces derniers devaient assister l'appelante pendant quelques mois. Enfin, l'appelante n'a dans un premier temps pas réagi au courrier du 14 mai 2009 des intimés lui réclamant le versement d'une rémunération de 20'000 fr. par mois pour l'activité menée de septembre à novembre 2008. Elle ne s'est opposée à ce versement que par courrier du 27 octobre 2009 en se prévalant de l'absence de prestations fournies, sans toutefois contester ni le principe ni le montant de la rémunération. Il en résulte que les parties avaient la volonté réelle et commune d'allouer aux intimés une rémunération, qu'elles devaient fixer dans une discussion ultérieure à la signature de la convention, pour l'activité qu'ils déploreraient en faveur des sociétés reprises du 1er septembre 2008 au 30</w:t>
      </w:r>
    </w:p>
    <w:p>
      <w:r>
        <w:t>- 24/28 -</w:t>
      </w:r>
    </w:p>
    <w:p>
      <w:r>
        <w:t>C/1638/2010 novembre 2008. Le montant envisagé était de l'ordre de 8'000 fr. à 10'000 fr. pour chacun des intimés pour une activité à plein temps.</w:t>
      </w:r>
    </w:p>
    <w:p>
      <w:r>
        <w:t>A cet égard, il ressort des témoignages de deux employés que, pendant environ un à deux mois, après le 1er septembre 2008, C______ a travaillé comme d'habitude. Selon la comptable R______, laquelle travaillait au domicile des intimés, C______ était souvent présent à ses côtés, quotidiennement, puis de manière plus espacée jusqu'à la fin du mois de novembre 2008. R______ et Q______ ont par ailleurs attesté de ce que son épouse avait travaillé pendant un mois dans l'un des restaurant, jusqu'à l'arrêt de la production des mets b______ [type de mets]; sa participation était également quotidienne au départ, puis s'est progressivement espacée par la suite jusqu'à la fin novembre 2008. Ces faits ont également été confirmés par les enquêtes menées au cours de la procédure prudhommale. Il ressort en effet du jugement du Tribunal des Prud'hommes du 3 janvier 2001 que les intimés ont assisté l'appelante dans la comptabilité, dans l'établissement des salaires du mois de septembre 2008, dans la gestion des ressources humaines et des contrats de bail, ainsi que dans le fonctionnement administratif et opérationnel des société reprises.</w:t>
      </w:r>
    </w:p>
    <w:p>
      <w:r>
        <w:t>Aucun élément au dossier ne permet de retenir que la rémunération envisagée par les parties ne visait pas ce type d'activités. Par ailleurs, le seul fait que le Tribunal des Prud'hommes ait considéré que ces prestations faisaient partie intégrante du prix de vente ne saurait suffire pour admettre la thèse de l'appelante; cette appréciation ne lie pas la Cour de céans, ledit Tribunal s'étant finalement déclaré incompétent en raison de la matière.</w:t>
      </w:r>
    </w:p>
    <w:p>
      <w:r>
        <w:t>Compte tenu des montants discutés par les parties et de l'activité fournie par les intimés de manière dégressive, une rémunération pour chacun des époux de 9'000 fr. en septembre, 6'000 fr. en octobre et 3'000 fr. en novembre, telle qu'arrêtée par le Tribunal, paraît adéquate. Le montant de 36'000 fr. sera donc confirmé. Il n'est pas contesté que cette somme porte intérêt à 5% dès le 14 mai 2009, date à laquelle les intimés ont réclamé à l'appelante le paiement de leur rémunération (art. 102 al. 1 et 104 al. 1 CO).</w:t>
      </w:r>
    </w:p>
    <w:p>
      <w:r>
        <w:rPr>
          <w:b/>
        </w:rPr>
        <w:t>E. 13</w:t>
      </w:r>
    </w:p>
    <w:p>
      <w:r>
        <w:t>L'appelante invoque, à titre subsidiaire, une suppression, voire une réduction de cette rémunération, en raison d'une mauvaise exécution du mandat confié aux intimés.</w:t>
      </w:r>
    </w:p>
    <w:p>
      <w:r>
        <w:rPr>
          <w:b/>
        </w:rPr>
        <w:t>E. 13.1</w:t>
      </w:r>
    </w:p>
    <w:p>
      <w:r>
        <w:t>Tout en soulignant que la jurisprudence a été développée de cas en cas, le Tribunal fédéral a précisé que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w:t>
      </w:r>
    </w:p>
    <w:p>
      <w:r>
        <w:t>- 25/28 -</w:t>
      </w:r>
    </w:p>
    <w:p>
      <w:r>
        <w:t>C/1638/2010 c'est-à-dire qui demeure inactif ou n'agit pas avec le soin requis, ne peut prétendre à l'entier des honoraires convenus ou à la même rémunération qui serait équitablement due à un mandataire diligent. Il est aujourd'hui généralement admis que la mauvaise exécution du contrat peut entraîner une réduction des honoraires du mandataire, qui sont fixés en appréciation de la valeur de la prestation effectuée. Ce n'est que dans le cas où l'exécution défectueuse du mandat est assimilable à une totale inexécution, se révélant inutile ou inutilisable, que le mandataire peut entièrement perdre son droit à une rémunération. Il en est de même lorsque la rémunération du mandataire est elle-même constitutive du dommage causé par l'exécution défectueuse (arrêt du Tribunal fédéral 4A_124/2007 du 23 novembre 2007 consid. 6.1.1; ATF 124 III 423 consid. 4a).</w:t>
      </w:r>
    </w:p>
    <w:p>
      <w:r>
        <w:rPr>
          <w:b/>
        </w:rPr>
        <w:t>E. 13.2</w:t>
      </w:r>
    </w:p>
    <w:p>
      <w:r>
        <w:t>En l'espèce, les manquements allégués par l'appelante (cf. point "En fait" B.t) - fussent-ils établis - ne sauraient justifier une réduction des honoraires des intimés, faute de gravité suffisante. L'appelante ne prouve, ni même n'allègue - à l'exception du défaut de renouvellement de l'autorisation de vendre de l'alcool -, aucun dommage en relation avec les reproches qu'elle formule pour justifier une réduction des honoraires des intimés. Elle n'établit pas que la rémunération de 36'000 fr. arrêtée ci-dessus (cf. consid. 12) représente une contre-prestation excessive par rapport aux prestations fournies.</w:t>
      </w:r>
    </w:p>
    <w:p>
      <w:r>
        <w:t>Dans ces circonstances, il y a lieu de confirmer le chiffre 4 du dispositif du jugement entrepris en tant qu'il alloue aux intimés un montant de 36'000 fr. plus intérêts à 5% l'an dès le 14 mai 2009.</w:t>
      </w:r>
    </w:p>
    <w:p>
      <w:r>
        <w:rPr>
          <w:b/>
        </w:rPr>
        <w:t>E. 14</w:t>
      </w:r>
    </w:p>
    <w:p>
      <w:r>
        <w:t>Le Tribunal a condamné l'acheteuse, qui avait succombé sur la quasi-totalité de ses prétentions, à l'entier des dépens de première instance, comprenant une indemnité de procédure de 40'000 fr. en faveur des vendeurs.</w:t>
      </w:r>
    </w:p>
    <w:p>
      <w:r>
        <w:t>A l'issue de la procédure d'appel, le jugement querellé est entièrement confirmé, sous réserve d'une légère correction portant sur un montant d'environ 30 fr. en faveur des vendeurs (chiffre 3 de son dispositif). Il ne se justifie en conséquence de modifier ni la répartition, ni la fixation - laquelle n'est d'ailleurs pas contestée - des dépens prévues par le Tribunal (art. 318 al. 3 CPC; art. 176 al. 1 et 181 al. 3 aLPC). Le chiffre 5 du dispositif du jugement est donc confirmé.</w:t>
      </w:r>
    </w:p>
    <w:p>
      <w:r>
        <w:t>Les frais judiciaires d'appel (au sens de l'art. 95 CPC) sont arrêtés à 51'600 fr. (art. 95 al. 2, art. 96 CPC, art. 13 et 17 RTFMC) et mis à la charge de l'appelante, qui succombe sur son appel principal, à concurrence de 48'000 fr.; ils sont mis à charge des intimés, qui succombent sur l'essentiel de leurs conclusions prises dans leur appel joint, à concurrence de 3'600 fr. (art. 106 al. 1 CO).</w:t>
      </w:r>
    </w:p>
    <w:p>
      <w:r>
        <w:t>- 26/28 -</w:t>
      </w:r>
    </w:p>
    <w:p>
      <w:r>
        <w:t>C/1638/2010</w:t>
      </w:r>
    </w:p>
    <w:p>
      <w:r>
        <w:t>Ces frais judiciaires sont compensés avec les avances de 48'000 fr. et de 3'600 fr. fournies respectivement par les parties, qui restent acquises à l'Etat (art. 111 al. 1 CPC).</w:t>
      </w:r>
    </w:p>
    <w:p>
      <w:r>
        <w:t>S'agissant des dépens d'appel (art. 95 al. 3, 105 al. 2 CPC), quand bien même aucune des deux parties n'a obtenu gain de cause (art. 106 al.1 CPC), il ne se justifie pas de les compenser au sens de l'art. 107 al. 1 CPC.</w:t>
      </w:r>
    </w:p>
    <w:p>
      <w:r>
        <w:t>En application des art. 95, 104 al. 1, 105 et 106 al. 1 CPC, ainsi que des art. 85 al. 1 et 90 RTFMC, les dépens des intimés sont fixés à 11'700 fr., débours et TVA inclus. Ceux de l'appelante sont fixés à 2'100 fr., débours et TVA inclus.</w:t>
      </w:r>
    </w:p>
    <w:p>
      <w:r>
        <w:t>Au final, l'appelante est condamnée à verser, à titre de dépens, débours et TVA inclus, 9'600 fr. aux intimés (11'700 fr. - 2'100 fr.).</w:t>
      </w:r>
    </w:p>
    <w:p>
      <w:r>
        <w:rPr>
          <w:b/>
        </w:rPr>
        <w:t>E. 15</w:t>
      </w:r>
    </w:p>
    <w:p>
      <w:r>
        <w:t>La valeur litigieuse est supérieure à 30'000 fr. (art. 74 al. 1 let. b LTF). La présente décision est susceptible d'un recours en matière civile au Tribunal fédéral (art. 72 al. 1 LTF). * * * * *</w:t>
      </w:r>
    </w:p>
    <w:p>
      <w:r>
        <w:t>- 27/28 -</w:t>
      </w:r>
    </w:p>
    <w:p>
      <w:r>
        <w:t>C/1638/2010 PAR CES MOTIFS, La Chambre civile : A la forme : Déclare recevables l'appel interjeté par A______ SA et l'appel joint interjeté par B______ et C______ contre le jugement JTPI/13652/2012 rendu le 18 octobre 2012 par le Tribunal de première instance dans la cause C/1638/2010-14. Au fond : Annule le chiffre 3 du dispositif de ce jugement. Cela fait et statuant à nouveau sur ce point : Condamne B______ et C______, solidairement entre eux, à payer à A______ SA la somme de 41'850 fr. 85, avec intérêts à 5% l'an dès le 6 novembre 2010. Confirme le jugement pour le surplus. Déboute les parties de toutes autres conclusions. Sur les frais : Arrête les frais judiciaires d'appel à 51'600 fr. Met les frais judiciaires d'appel à la charge de A______ SA à concurrence de 48'000 fr. et à charge de B______ et C______ à concurrence de 3'600 fr. Dit que les frais judiciaires d'appel sont compensés par l'avance de frais de 48'000 fr. fournie par A______ SA et l'avance de frais de 3'600 fr. fournie par B______ et C______. Dit que ces avances restent acquises à l'Etat. Condamne A______ SA à verser à B______ et C______ 9'600 fr. à titre de dépens d'appel. Siégeant : Monsieur Jean RUFFIEUX, président; Madame Ariane WEYENETH et Madame Elena SAMPEDRO, juges; Madame Nathalie DESCHAMPS, greffière.</w:t>
      </w:r>
    </w:p>
    <w:p>
      <w:r>
        <w:t>- 28/28 -</w:t>
      </w:r>
    </w:p>
    <w:p>
      <w:r>
        <w:t>C/1638/2010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