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ACJC/646/2019 vom 6. Mai 2019</w:t>
      </w:r>
    </w:p>
    <w:p>
      <w:r>
        <w:t>GE Cour de justice, 2019-05-06, FR</w:t>
      </w:r>
    </w:p>
    <w:p>
      <w:r>
        <w:rPr>
          <w:b/>
        </w:rPr>
        <w:t xml:space="preserve">Quelle: </w:t>
      </w:r>
      <w:r>
        <w:t>https://mcp.opencaselaw.ch/entscheid/ge_gerichte_ACJC_646_2019</w:t>
      </w:r>
    </w:p>
    <w:p>
      <w:r>
        <w:t>FR: GE_GERICHTE ACJC/646/2019 du 6 mai 2019</w:t>
      </w:r>
    </w:p>
    <w:p>
      <w:r>
        <w:t>IT: GE_GERICHTE ACJC/646/2019 del 6 maggio 2019</w:t>
      </w:r>
    </w:p>
    <w:p>
      <w:pPr>
        <w:pStyle w:val="Heading2"/>
      </w:pPr>
      <w:r>
        <w:t>Regeste</w:t>
      </w:r>
    </w:p>
    <w:p>
      <w:r>
        <w:t>Résumé: COMPÉTENCE - RAPPORT BAILLEUR - SOUS-LOCATAIRE Le Tribunal des baux et loyers est compétent à raison de la matière pour statuer sur tout litige relatif aux baux et loyers opposant un bailleur principal à un sous-locataire (restitution des locaux, évacuation, exécution de l'évacuation, demande en paiement d'une indemnité pour occupation illicite, etc.). Cette compétence ne concerne cependant que les rapports entre un bailleur principal et un sous-locataire, à l'exclusion d'un squatteur, d'un occupant non titulaire d'un contrat de bail de sous-location ou d'un occupant à titre gratuit titulaire d'un contrat de prêt à usage, cas où la compétence de la juridiction ordinaire demeure (art. 86 LOJ).</w:t>
      </w:r>
    </w:p>
    <w:p>
      <w:pPr>
        <w:pStyle w:val="Heading2"/>
      </w:pPr>
      <w:r>
        <w:t>Volltext</w:t>
      </w:r>
    </w:p>
    <w:p>
      <w:r>
        <w:t>Résumé: COMPÉTENCE - RAPPORT BAILLEUR - SOUS-LOCATAIRE Le Tribunal des baux et loyers est compétent à raison de la matière pour statuer sur tout litige relatif aux baux et loyers opposant un bailleur principal à un sous-locataire (restitution des locaux, évacuation, exécution de l'évacuation, demande en paiement d'une indemnité pour occupation illicite, etc.). Cette compétence ne concerne cependant que les rapports entre un bailleur principal et un sous-locataire, à l'exclusion d'un squatteur, d'un occupant non titulaire d'un contrat de bail de sous-location ou d'un occupant à titre gratuit titulaire d'un contrat de prêt à usage, cas où la compétence de la juridiction ordinaire demeure (art. 86 LOJ).</w:t>
      </w:r>
    </w:p>
    <w:p>
      <w:r>
        <w:t>Descripteurs: Descripteurs: BAIL À LOYER ; TRIBUNAL DES BAUX ; COMPÉTENCE ; COMPÉTENCE RATIONE MATERIAE ; SOUS-LOCATION</w:t>
      </w:r>
    </w:p>
    <w:p>
      <w:r>
        <w:t>Normes: Normes: LOJ.89; aLOJ.56M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