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ACJC/643/2022 vom 16. Mai 2022</w:t>
      </w:r>
    </w:p>
    <w:p>
      <w:r>
        <w:t>GE Cour de justice, 2022-05-16, FR</w:t>
      </w:r>
    </w:p>
    <w:p>
      <w:r>
        <w:rPr>
          <w:b/>
        </w:rPr>
        <w:t xml:space="preserve">Quelle: </w:t>
      </w:r>
      <w:r>
        <w:t>https://mcp.opencaselaw.ch/entscheid/ge_gerichte_ACJC_643_2022</w:t>
      </w:r>
    </w:p>
    <w:p>
      <w:r>
        <w:t>FR: GE_GERICHTE ACJC/643/2022 du 16 mai 2022</w:t>
      </w:r>
    </w:p>
    <w:p>
      <w:r>
        <w:t>IT: GE_GERICHTE ACJC/643/2022 del 16 maggio 2022</w:t>
      </w:r>
    </w:p>
    <w:p>
      <w:pPr>
        <w:pStyle w:val="Heading2"/>
      </w:pPr>
      <w:r>
        <w:t>Erwägungen</w:t>
      </w:r>
    </w:p>
    <w:p>
      <w:r>
        <w:rPr>
          <w:b/>
        </w:rPr>
        <w:t>E. 1.1</w:t>
      </w:r>
    </w:p>
    <w:p>
      <w:r>
        <w:t>Dans les affaires patrimoniales, l'appel est recevable si la valeur litigieuse au dernier état des conclusions est de 10'000 fr. au moins (art. 308 al. 2 CPC).</w:t>
      </w:r>
    </w:p>
    <w:p>
      <w:r>
        <w:t>Le recours est recevable contre les décisions finales, incidentes et provisionnelles de première instance qui ne peuvent faire l'objet d'un appel (art. 319 let a CPC).</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t>Lorsque la décision de première instance a été rendue en procédure sommaire, le délai pour l'introduction du recours est de dix jours (art. 321 al. 2 CPC). La procédure sommaire s'applique à la procédure de cas clair (art. 248 let. b CPC).</w:t>
      </w:r>
    </w:p>
    <w:p>
      <w:r>
        <w:rPr>
          <w:b/>
        </w:rPr>
        <w:t>E. 1.2</w:t>
      </w:r>
    </w:p>
    <w:p>
      <w:r>
        <w:t>En l'espèce, au vu du montant du loyer de 210 fr. par mois, la valeur litigieuse est inférieure à 10'000 fr., de sorte que la voie de recours est ouverte contre le prononcé de l'évacuation.</w:t>
      </w:r>
    </w:p>
    <w:p>
      <w:r>
        <w:t>Le recours a été interjeté dans le délai et suivant la forme prescrits par la loi (art. 321 CPC). Il est ainsi recevable.</w:t>
      </w:r>
    </w:p>
    <w:p>
      <w:r>
        <w:rPr>
          <w:b/>
        </w:rPr>
        <w:t>E. 1.3</w:t>
      </w:r>
    </w:p>
    <w:p>
      <w:r>
        <w:t>Le recours est recevable pour violation du droit et constatation manifestement inexacte des faits (art. 320 CPC).</w:t>
      </w:r>
    </w:p>
    <w:p>
      <w:r>
        <w:rPr>
          <w:b/>
        </w:rPr>
        <w:t>E. 2</w:t>
      </w:r>
    </w:p>
    <w:p>
      <w:r>
        <w:t>Le recourant reproche au Tribunal d'avoir considéré que le cas était clair. La mention figurant à l'annexe du contrat du 5 août 2019 démontrait que le bail du garage était lié à celui de l'appartement, ou à tout le moins que la volonté des</w:t>
      </w:r>
    </w:p>
    <w:p>
      <w:r>
        <w:t>- 5/8 -</w:t>
      </w:r>
    </w:p>
    <w:p>
      <w:r>
        <w:t>C/19899/2021 parties à cet égard n'était pas claire, de sorte que la requête aurait dû être déclarée irrecevable.</w:t>
      </w:r>
    </w:p>
    <w:p>
      <w:r>
        <w:rPr>
          <w:b/>
        </w:rPr>
        <w:t>E. 2.1.1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2.1.2</w:t>
      </w:r>
    </w:p>
    <w:p>
      <w:r>
        <w:t>Les dispositions concernant les baux d'habitation et de locaux commerciaux s'appliquent aussi aux choses dont l'usage est cédé avec ces habitations ou locaux commerciaux (art. 253a al. 1 CO). Le critère déterminant pour que l'accessoire suive le sort du principal est celui de l'interdépendance entre les locaux du fait de leur nature, de leurs liens</w:t>
      </w:r>
    </w:p>
    <w:p>
      <w:r>
        <w:t>- 6/8 -</w:t>
      </w:r>
    </w:p>
    <w:p>
      <w:r>
        <w:t>C/19899/2021 fonctionnels et de leur usage. Le locataire n'a loué les dépendances que parce qu'il avait loué ou voulait louer le logement ou le local commercial. Peu importe que l'accessoire soit, ou non, mentionné dans le bail, que les parties aient signé deux contrats ou que les baux aient été conclus simultanément ou non. En revanche pour que les dépendances suivent le sort du logement ou du local commercial, les parties aux deux contrats doivent être les mêmes (LACHAT/GROBET THORENS/RUBLI/STASNY, Le bail à loyer, 2019, p. 146 par. 4.4.1).</w:t>
      </w:r>
    </w:p>
    <w:p>
      <w:r>
        <w:rPr>
          <w:b/>
        </w:rPr>
        <w:t>E. 2.2</w:t>
      </w:r>
    </w:p>
    <w:p>
      <w:r>
        <w:t>En l'espèce, le contrat litigieux a été conclu plusieurs années après celui de l'appartement, alors que le recourant disposait déjà de deux autres garages. Les parties à ces contrats ne sont pas les mêmes. Seul le contrat du 18 février 2016, conclu à peine quelques mois après celui de l'appartement l'a été entre les mêmes parties et était d'une durée identique au bail de l'appartement. C'est ainsi à bon droit que le Tribunal a considéré que le cas était clair, malgré les objections du locataire, qui pouvaient être écartées sur la base des pièces produites. La mention non biffée figurant sous la rubrique annexe du contrat litigieux n'y change rien. Elle est conditionnelle et ne saurait à elle seule créer un doute quant à la volonté des parties de conclure un contrat indépendant de celui portant sur l'appartement.</w:t>
      </w:r>
    </w:p>
    <w:p>
      <w:r>
        <w:t>Le recours s'avère ainsi infondé et sera rejeté.</w:t>
      </w:r>
    </w:p>
    <w:p>
      <w:r>
        <w:rPr>
          <w:b/>
        </w:rPr>
        <w:t>E. 3</w:t>
      </w:r>
    </w:p>
    <w:p>
      <w:r>
        <w:t>A teneur de l'art. 22 al. 1 LaCC, il n'est pas prélevé de frais dans les causes soumises à la juridiction des baux et loyers. * * * * *</w:t>
      </w:r>
    </w:p>
    <w:p>
      <w:r>
        <w:t>- 7/8 -</w:t>
      </w:r>
    </w:p>
    <w:p>
      <w:r>
        <w:t>C/19899/2021</w:t>
      </w:r>
    </w:p>
    <w:p>
      <w:r>
        <w:t>PAR CES MOTIFS, La Chambre des baux et loyers : A la forme : Déclare recevable le recours interjeté le 20 janvier 2022 par A______ contre le jugement JTBL/1093/2021 rendu le 30 novembre 2021 par le Tribunal des baux et loyers dans la cause C/19899/2021. Au fond : Le rejette. Dit que la procédure est gratuite. Déboute les parties de toutes autres conclusions. Siégeant : Monsieur Ivo BUETTI, président; Madame Pauline ERARD, Madame Fabienne GEISINGER-MARIETHOZ, juges; Monsieur Jean-Philippe ANTHONIOZ, Monsieur Stéphane PENET, juges assesseurs;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- 8/8 -</w:t>
      </w:r>
    </w:p>
    <w:p>
      <w:r>
        <w:t>C/19899/2021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