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ACJC/642/2025 vom 21. November 2024</w:t>
      </w:r>
    </w:p>
    <w:p>
      <w:r>
        <w:t>GE Cour de justice, 2024-11-21, FR</w:t>
      </w:r>
    </w:p>
    <w:p>
      <w:r>
        <w:rPr>
          <w:b/>
        </w:rPr>
        <w:t xml:space="preserve">Quelle: </w:t>
      </w:r>
      <w:r>
        <w:t>https://mcp.opencaselaw.ch/entscheid/ge_gerichte_ACJC_642_2025</w:t>
      </w:r>
    </w:p>
    <w:p>
      <w:r>
        <w:t>FR: GE_GERICHTE ACJC/642/2025 du 21 novembre 2024</w:t>
      </w:r>
    </w:p>
    <w:p>
      <w:r>
        <w:t>IT: GE_GERICHTE ACJC/642/2025 del 21 novembre 2024</w:t>
      </w:r>
    </w:p>
    <w:p>
      <w:pPr>
        <w:pStyle w:val="Heading2"/>
      </w:pPr>
      <w:r>
        <w:t>Erwägungen</w:t>
      </w:r>
    </w:p>
    <w:p>
      <w:r>
        <w:rPr>
          <w:b/>
        </w:rPr>
        <w:t>E. 1</w:t>
      </w:r>
    </w:p>
    <w:p>
      <w:r>
        <w:t>1.1.1 Aux termes de l'art. 148 CPC, le tribunal peut accorder un délai supplémentaire ou citer les parties à une nouvelle audience lorsque la partie défaillante en fait la requête et rend vraisemblable que le défaut ne lui est pas imputable ou n'est imputable qu'à une faute légère (al. 1), la requête devant être présentée dans les dix jours qui suivent celui où la cause du défaut a disparu (al. 2). Pour une grande partie de la doctrine, l'art. 148 CPC est applicable aux délais légaux d'appel et de recours (GASSER/RICKLI, Schweizerische Zivilprozessordnung, Kurzkommentar, 2014, n. 1 ad art. 311 et n. 1 ad art. 321; GOZZI, Basler Kommentar ZPO, 4ème éd., 2025, n. 6 ad art. 148; TANNER, Schweizerische Zivilprozessordnung, Kommentar, BRUNNER/SCHWAN DER/VISCHER, 3ème éd., 2025, n. 6 ad art. 148; FUCHS, Kommentar zur Schweizerischen Zivilprozessordnung, SUTTER-SOMM/ LÖTSCHER/SEILER, 4ème éd., 2025, n. 5 ad art. 148; contra HOFMANN/LUSCHER, Le Code de procédure civile, 3ème éd., 2023, p. 169). La faute légère vise tout comportement ou manquement qui, sans être acceptable ou excusable, n'est pas particulièrement répréhensible, tandis que la faute grave suppose la violation de règles de prudence élémentaires qui s'imposent impérieusement à toute personne raisonnable (arrêts du Tribunal fédéral 5A_927/2015 du 22 décembre 2015 consid. 5.1; 4A_163/2015 du 12 octobre 2015 consid. 4.1). C'est une notion juridique pour laquelle le juge devra se fonder sur les faits invoqués dans la requête et rendus suffisamment vraisemblables, en disposant d'un large pouvoir d'appréciation. Tel pourrait être le cas si le non-respect du délai ou la non-comparution résulte d'une erreur de lieu ou d'agenda, si un acte a effectivement été préparé dans le délai, mais n'a, par mégarde, pas été posté le jour même, voire si un autre acte a été envoyé par inadvertance, ou si le défaillant n'a pas effectivement connu le délai ou l'audience en question, fût-ce en raison d'un manquement de sa part (TAPPY, CR CPC, 2ème éd. 2019, n. 15 ad art. 148 CPC). Recourant, avec la notion de faute légère, à une notion juridique indéterminée, l'art. 148 CPC laisse une grande marge d'appréciation au tribunal. Sans tomber dans l'arbitraire, il pourra tenir compte de nombreux facteurs pour décider si une restitution se justifie, en particulier de l'enjeu pour le requérant (une restitution pouvant apparaître moins justifiée et être plus facilement refusée si le défaut n'a entraîné que des conséquences peu graves, par ex. si elle tend seulement à faire réentendre en présence du requérant un témoin d'importance secondaire), de la complication qu'un retour en arrière entraînerait, mais aussi subjectivement de la situation personnelle de l'intéressé: la même faute pourra ainsi être qualifiée différemment selon qu'elle émane d'une partie inexpérimentée ou comprenant</w:t>
      </w:r>
    </w:p>
    <w:p>
      <w:r>
        <w:t>- 5/7 -</w:t>
      </w:r>
    </w:p>
    <w:p>
      <w:r>
        <w:t>C/18496/2021 mal la langue officielle du procès plutôt que d'un plaideur chevronné, voire d'un avocat (TAPPY, op. cit. n. 19 ad art. 148 CPC). 1.1.2 Une partie doit se laisser imputer la faute de son représentant. Il importe donc peu que le retard soit imputable au plaideur ou à son avocat. Pour apprécier le comportement du mandataire, il faut se fonder sur les motifs exposés dans la demande de restitution de délai. Il suffit que les conditions (matérielles) d'application de l'art. 148 CPC soient rendues vraisemblables par le requérant, qui supporte le fardeau de la preuve (arrêt du Tribunal fédéral 4A_52/2019 du 20 mars 2019 et les références citées).</w:t>
      </w:r>
    </w:p>
    <w:p>
      <w:r>
        <w:rPr>
          <w:b/>
        </w:rPr>
        <w:t>E. 1.2</w:t>
      </w:r>
    </w:p>
    <w:p>
      <w:r>
        <w:t>En l'espèce, le requérant se prévaut de l'activité parlementaire de son conseil, d'un incident de photocopieur et d'une mauvaise indication fournie par l'application Google Maps pour justifier le dépôt tardif de son mémoire d'appel. Il sera préalablement rappelé qu'il appartient à tout avocat de s'organiser afin d'être en mesure d'exécuter les mandats qui lui sont confiés avec toute la diligence requise. Le requérant ne saurait par conséquent se prévaloir de l'activité parlementaire de son conseil pour justifier le dépôt tardif d'un mémoire d'appel. Si ladite activité empêche l'avocat d'accorder le temps nécessaire à ses dossiers, il est de son devoir d'engager un collaborateur afin qu'il le seconde, ou de confier certains dossiers à un confrère lorsqu'il anticipe le fait, comme il aurait dû le faire dans la présente affaire, qu'il n'aura pas suffisamment de temps à leur consacrer. La prise de telles mesures aurait en l'espèce évité au conseil du requérant de se retrouver à devoir finaliser un acte d'appel le dernier jour utile du délai, après la fermeture de tous les guichets postaux, en étant à la merci du moindre incident technique, étant relevé que le fonctionnement défectueux d'une imprimante ou d'un photocopieur est un incident fréquent, avec lequel il faut compter. Le fait que le conseil du requérant ait dû, peu avant minuit, rechercher sur Google Maps où se trouvait la boîte postale la plus proche démontre également un manque d'anticipation et d'organisation, à la limite de la faute grave pour un avocat. Cela étant, il a été rendu suffisamment vraisemblable, par la production de la photographie de l'horodatage de la vidéo, que le mémoire destiné à la Cour a été posté trois minutes seulement après l'échéance du délai d'appel. Il en découle que le mémoire d'appel était finalisé avant l'échéance dudit délai et que le requérant n'a pas bénéficié de temps supplémentaire, postérieurement à ladite échéance, pour le rédiger. En l'espèce, l'enjeu pour le requérant est non négligeable, puisqu'il a formé appel contre un jugement rendu sur mesures protectrices de l'union conjugale et qu'il n'a pas la possibilité, la procédure étant soumise à l'ancien Code de procédure civile, de former un appel joint à la suite de l'appel</w:t>
      </w:r>
    </w:p>
    <w:p>
      <w:r>
        <w:t>- 6/7 -</w:t>
      </w:r>
    </w:p>
    <w:p>
      <w:r>
        <w:t>C/18496/2021 déposé par sa partie adverse. Une irrecevabilité de son appel serait par conséquent susceptible d'entraîner des conséquences dommageables. Compte tenu de ces circonstances particulières, la requête de restitution de délai sera exceptionnellement admise. L'acte d'appel ayant déjà été déposé, il n'est pas nécessaire d'impartir au requérant un nouveau délai pour ce faire. L'instruction de l'appel suivra par conséquent son cours.</w:t>
      </w:r>
    </w:p>
    <w:p>
      <w:r>
        <w:rPr>
          <w:b/>
        </w:rPr>
        <w:t>E. 2</w:t>
      </w:r>
    </w:p>
    <w:p>
      <w:r>
        <w:t>Il sera statué sur les frais liés à la présente décision dans l'arrêt au fond. * * * * *</w:t>
      </w:r>
    </w:p>
    <w:p>
      <w:r>
        <w:t>- 7/7 -</w:t>
      </w:r>
    </w:p>
    <w:p>
      <w:r>
        <w:t>C/18496/2021 PAR CES MOTIFS, La Chambre civile : Admet la requête de restitution de délai formée le 16 décembre 2024 par A______ dans la cause C/18496/2021. Constate en conséquence que l'appel adressé à la Cour le 7 décembre 2024 par A______ contre le jugement JTPI/14683/2024 rendu le 21 novembre 2024 par le Tribunal de première instance a été formé en temps utile. Dit qu'il sera statué sur les frais liés à la présente décision dans l'arrêt au fond. Siégeant : Madame Paola CAMPOMAGNANI, présidente; Monsieur Laurent RIEBEN et Madame Nathalie RAPP, juges; Madame Camille LESTEVEN,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