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ACJC/638/2023 vom 19. Mai 2023</w:t>
      </w:r>
    </w:p>
    <w:p>
      <w:r>
        <w:t>GE Cour de justice, 2023-05-19, FR</w:t>
      </w:r>
    </w:p>
    <w:p>
      <w:r>
        <w:rPr>
          <w:b/>
        </w:rPr>
        <w:t xml:space="preserve">Quelle: </w:t>
      </w:r>
      <w:r>
        <w:t>https://mcp.opencaselaw.ch/entscheid/ge_gerichte_ACJC_638_2023</w:t>
      </w:r>
    </w:p>
    <w:p>
      <w:r>
        <w:t>FR: GE_GERICHTE ACJC/638/2023 du 19 mai 2023</w:t>
      </w:r>
    </w:p>
    <w:p>
      <w:r>
        <w:t>IT: GE_GERICHTE ACJC/638/2023 del 19 maggio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- 13/19 -</w:t>
      </w:r>
    </w:p>
    <w:p>
      <w:r>
        <w:t>C/80/2021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l'entretien de l'épouse, il est de nature pécuniaire (ATF 133 III 393 consid. 2). En vertu de l'art. 92 al. 2 CPC, la capitalisation du montant des contributions d'entretien restées litigieuses au vu des dernières conclusions des parties devant le premier juge excède 10'000 fr. Formé en temps utile et selon la forme prescrite par la loi (art. 130 al. 1 et 314 al. 1 CPC), l'appel est recevable.</w:t>
      </w:r>
    </w:p>
    <w:p>
      <w:r>
        <w:rPr>
          <w:b/>
        </w:rPr>
        <w:t>E. 1.2</w:t>
      </w:r>
    </w:p>
    <w:p>
      <w:r>
        <w:t>La Cour revoit la cause en fait et en droit avec un plein pouvoir d'examen (art. 310 CPC). La présente cause est soumise à la maxime de disposition (art. 58 al. 1 CPC), ainsi qu'à la maxime des débats atténuée (art. 55 al. 1 et 277 al. 1 CPC).</w:t>
      </w:r>
    </w:p>
    <w:p>
      <w:r>
        <w:rPr>
          <w:b/>
        </w:rPr>
        <w:t>E. 1.3</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w:t>
      </w:r>
    </w:p>
    <w:p>
      <w:r>
        <w:rPr>
          <w:b/>
        </w:rPr>
        <w:t>E. 1.4</w:t>
      </w:r>
    </w:p>
    <w:p>
      <w:r>
        <w:t>L'intimé a produit de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En l'espèce, les pièces nouvelles produites par l'intimé ont été établies après que la cause a été gardée à juger par le Tribunal et ont été produites avec diligence en appel, de sorte qu'elles sont recevables.</w:t>
      </w:r>
    </w:p>
    <w:p>
      <w:r>
        <w:rPr>
          <w:b/>
        </w:rPr>
        <w:t>E. 2</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- 14/19 -</w:t>
      </w:r>
    </w:p>
    <w:p>
      <w:r>
        <w:t>C/80/2021</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w:t>
      </w:r>
    </w:p>
    <w:p>
      <w:r>
        <w:rPr>
          <w:b/>
        </w:rPr>
        <w:t>E. 2.1</w:t>
      </w:r>
    </w:p>
    <w:p>
      <w:r>
        <w:t>et 5.1).</w:t>
      </w:r>
    </w:p>
    <w:p>
      <w:r>
        <w:rPr>
          <w:b/>
        </w:rPr>
        <w:t>E. 3</w:t>
      </w:r>
    </w:p>
    <w:p>
      <w:r>
        <w:t>L'appelante remet en cause la suppression de sa contribution d'entretien.</w:t>
      </w:r>
    </w:p>
    <w:p>
      <w:r>
        <w:rPr>
          <w:b/>
        </w:rPr>
        <w:t>E. 3.1</w:t>
      </w:r>
    </w:p>
    <w:p>
      <w:r>
        <w:t>Les mesures protectrices de l'union conjugale demeurent en vigueur même au- 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w:t>
      </w:r>
    </w:p>
    <w:p>
      <w:r>
        <w:rPr>
          <w:b/>
        </w:rPr>
        <w:t>E. 3.1.1</w:t>
      </w:r>
    </w:p>
    <w:p>
      <w:r>
        <w:t>Aux termes de l'art. 179 al. 1, 1ère phrase CC, le juge prononce les modifications commandées par les faits nouveaux et rapporte les mesures prises lorsque les causes qui les ont déterminées n'existent plus. Après l'introduction de l'action en divorce, les époux peuvent solliciter la modification de mesures protectrices de l'union conjugale si, depuis l'entrée en vigueur de celles-ci,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 du Tribunal fédéral 5A_611/2019 du 29 avril 2020 consid. 4.1). La procédure de modification n'a cependant pas pour but de corriger le premier jugement, mais de l'adapter aux circonstances nouvelles (ATF 137 III 604 consid. 4.1.1; arrêt du Tribunal fédéral 5A_611/2019 précité). Le moment déterminant pour apprécier si des circonstances nouvelles se sont produites est la date du dépôt de la demande de modification (ATF 137 III 604 consid. 4.1.1; arrêts du Tribunal fédéral 5A_253/2020 du 25 mars 2021 consid. 3.1.1; 5A_611/2019 précité). En cas de modification des circonstances en cours d’instance, les principes du CPC s'appliquent (PELLATON, Commentaire pratique, Droit matrimonial, 2015,</w:t>
      </w:r>
    </w:p>
    <w:p>
      <w:r>
        <w:t>- 15/19 -</w:t>
      </w:r>
    </w:p>
    <w:p>
      <w:r>
        <w:t>C/80/2021 n. 40 ad art. 179 CC). Si un autre motif de modification survient après l'introduction de l'instance, mais avant le début des délibérations sur le jugement - c'est-à-dire jusqu'au moment où de vrais nova peuvent être présentés -, il peut et doit être invoqué dans la procédure en cours, pour autant toutefois que le caractère durable du changement soit intervenu avant cette limite temporelle (arrêt du Tribunal fédéral 5A_253/2020 précité consid. 3.1.1).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(PELLATON, Commentaire pratique, Droit matrimonial, 2016, n. 29 et 38 ad art. 179 CC; ISENRING/KESSLER, Basler Kommentar, ZGB I, 2022, n. 5 ad art. 179 CC).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5A_228/2020 du 3 août 2020 consid. 3.1 et les réf. cit.).</w:t>
      </w:r>
    </w:p>
    <w:p>
      <w:r>
        <w:rPr>
          <w:b/>
        </w:rPr>
        <w:t>E. 3.1.2</w:t>
      </w:r>
    </w:p>
    <w:p>
      <w:r>
        <w:t>La modification déploie ses effets pour l'avenir. Elle prend en principe effet au jour de l'entrée en force de la nouvelle décision, l'ancienne réglementation restant valable jusqu'à l'entrée en force formelle du nouveau jugement prononcé. Si des circonstances le justifient, le juge a le pouvoir d'accorder un effet rétroactif aux nouvelles mesures. Cet effet ne peut toutefois pas remonter à une date antérieure à celle du dépôt de la demande de modification (ATF 111 II 103 consid. 4; arrêts du Tribunal fédéral 5A_364/2020 du 14 juin 2021 consid. 9.3.1; 5A_539/2019 du 14 novembre 2019 consid. 3.3; 5A_685/2018 du 15 mai 2019 consid. 5.3.4.1 ISENRING/KESSLER, op. cit., n. 8 ad art. 179 CC; CHAIX, CR-CC I, 2010, n. 6 ad art. 179 CC).</w:t>
      </w:r>
    </w:p>
    <w:p>
      <w:r>
        <w:t>3.2.1 Dans un premier grief, l'appelante conteste l'existence d'une modification notable et durable des circonstances justifiant la modification des mesures protectrices de l'union conjugale. Selon elle, lors du dépôt de la requête le 31 août 2022, les enfants venaient d'être placés en foyer pour une durée indéterminée et la situation était amenée à évoluer dans les prochains mois, l'instauration d'une nouvelle garde alternée n'étant pas exclue.</w:t>
      </w:r>
    </w:p>
    <w:p>
      <w:r>
        <w:t>- 16/19 -</w:t>
      </w:r>
    </w:p>
    <w:p>
      <w:r>
        <w:t>C/80/2021 En l'espèce, comme la Cour l'a déjà souligné dans son arrêt ACJC/437/2023 du 28 mars 2023, le régime de la garde alternée avait abouti à un échec, les enfants ayant rapidement adopté un comportement radical à l'encontre de leur père et ayant été privés d'accès à un espace thérapeutique propre. Selon le rapport d'expertise de la famille, il apparaissait urgent d'extraire les enfants, qui souffraient manifestement d'un syndrome d'aliénation parentale, de l'emprise maternelle – la mère souffrant d'un trouble de la personnalité paranoïaque et ne disposant pas des capacités parentales nécessaires pour satisfaire les besoins primaires et secondaires des enfants – pour les confier, après un placement temporaire en foyer, à leur père – qui, lui, ne présentait aucun trouble de la personnalité et disposait de compétences parentales adéquates. C'est dans ce contexte, au vu de l'échec de la garde alternée, du comportement inadéquat de la mère et du rapport de l'expertise familiale, que les enfants ont été placés en urgence en foyer et que leur garde exclusive a été octroyée au père, laquelle a été mise en place dès la mi-décembre 2022 et convient aux enfants qui vont mieux. L'éventualité d'attribuer à nouveau la garde des enfants à la mère n'a pas été envisagée par les autorités au vu des circonstances.</w:t>
      </w:r>
    </w:p>
    <w:p>
      <w:r>
        <w:t>A cela s'ajoute que, depuis le mois de juillet 2022, la mère n'a bénéficié que d'un droit de visite médiatisée et qu'elle a refusé de le pratiquer depuis le retour des mineurs chez le père en décembre dernier, préférant - plutôt que d'accepter la présence d'un tiers - ne plus voir ses enfants du tout et adopter un comportement inapproprié en les rencontrant "de manière fortuite", ce comportement - néfaste pour les mineurs - ayant conduit au prononcé d'une interdiction de les approcher. Partant, l'appelante ne saurait être suivie lorsqu'elle prétend que le retrait de la garde sur les enfants à son égard ne serait que temporaire et qu'elle pourrait être prochainement amenée à les prendre en charge en alternance avec le père.</w:t>
      </w:r>
    </w:p>
    <w:p>
      <w:r>
        <w:t>3.2.2 Dans un second grief, l'appelante reproche au premier juge d'avoir violé le principe selon lequel la modification essentielle et durable des circonstances doit être évaluée au moment du dépôt de la requête en retenant que l'intimé n'avait plus les ressources financières suffisantes pour lui verser une contribution à son propre entretien dès le 1er août 2022. Elle considère que les charges assumées par l'intimé n'ont augmenté que six mois plus tard, lors du retour des enfants chez ce dernier.</w:t>
      </w:r>
    </w:p>
    <w:p>
      <w:r>
        <w:t>En l'occurrence, il n'est pas contesté que l'intimé perçoit actuellement un salaire mensuel net moyen de 17'648 fr. et que son minimum vital selon le droit de la famille s'élève à environ 12'525 fr. par mois, de sorte qu'il dispose d'un solde de 5'123 fr. par mois.</w:t>
      </w:r>
    </w:p>
    <w:p>
      <w:r>
        <w:t>Il assume l'entier des charges des enfants depuis leur placement en foyer.</w:t>
      </w:r>
    </w:p>
    <w:p>
      <w:r>
        <w:t>- 17/19 -</w:t>
      </w:r>
    </w:p>
    <w:p>
      <w:r>
        <w:t>C/80/2021</w:t>
      </w:r>
    </w:p>
    <w:p>
      <w:r>
        <w:t>Durant la période transitoire du placement en foyer, soit entre le début du mois de juillet et la mi-décembre 2022, le père a pris en charge un montant d'environ 3'054 fr. pour E______ (cf. supra EN FAIT let. E.c.; 4'176 fr. 15, sous déduction des frais de la nounou engagée lors de la mise en place de la garde exclusive (1'725 fr.) et la moitié du montant de base OP (300 fr.) - compte tenu du droit de visite très élargi dont le père a bénéficié -, auxquels il convient d'ajouter les allocations familiales suspendues (300 fr.) et les frais de placement (603 fr.)) et d'environ 1'907 fr. pour F______ (2'923 fr. 70 - [1'725 fr. de frais de la nounou + 200 fr. de montant de base OP] + [300 fr. d'allocations familiales suspendues + 608 fr. de frais de placement]), soit des charges totales pour les deux enfants d'environ 4'961 fr. par mois. Une fois couvertes ses charges personnelles et celles des enfants, l'intimé a donc disposé d'un solde résiduel de l'ordre de 160 fr. par mois (5'123 fr. - 4'961 fr.) durant cette période, hors frais de garde ponctuels intervenus en octobre et novembre 2022.</w:t>
      </w:r>
    </w:p>
    <w:p>
      <w:r>
        <w:t>Dès la mise en place de la garde exclusive à la mi-décembre 2022, l'intimé a assumé pour les deux enfants des dépenses pour un montant global de l'ordre de 7'100 fr. par mois (4'176 fr. 15 + 2'923 fr. 70), sa situation financière étant depuis lors déficitaire.</w:t>
      </w:r>
    </w:p>
    <w:p>
      <w:r>
        <w:t>3.2.3 Au vu de ce qui précède, c'est à raison que le Tribunal a considéré que les circonstances de fait qui prévalaient au moment où les mesures protectrices avaient été ordonnées s'étaient modifiées de manière importante et durable dès le 1er août 2022 et que l'intimé n'était plus en mesure de verser une contribution à l'entretien de l'appelante dès cette date. Par conséquent, le chiffre 1 du dispositif de l'ordonnance entreprise sera confirmé.</w:t>
      </w:r>
    </w:p>
    <w:p>
      <w:r>
        <w:rPr>
          <w:b/>
        </w:rPr>
        <w:t>E. 4</w:t>
      </w:r>
    </w:p>
    <w:p>
      <w:r>
        <w:t>L'intimé conclut à ce que, s'en tenant à la répartition prévue par l'art. 106 al. 1 1ère phrase CPC, les frais judiciaires soient mis à la charge de l'appelante et que cette dernière soit condamnée à lui verser des dépens à hauteur de 3'790 fr.</w:t>
      </w:r>
    </w:p>
    <w:p>
      <w:r>
        <w:t>Il fait valoir que l'appel est mal fondé et dénué de toute motivation et que l'appelante adopte un comportement déraisonnable en contestant systématiquement toutes les décisions rendues. Il relève qu'outre les séquelles psychologiques causées par le comportement de son épouse sur l'ensemble des membres de la famille, celui-ci a également engendré pour lui un important coût de défense et qu'il doit faire face tant à un épuisement psychologique causé par les procédures judiciaires qu'à un épuisement financier ayant conduit à un lourd endettement.</w:t>
      </w:r>
    </w:p>
    <w:p>
      <w:r>
        <w:rPr>
          <w:b/>
        </w:rPr>
        <w:t>E. 4.1</w:t>
      </w:r>
    </w:p>
    <w:p>
      <w:r>
        <w:t>Les frais judiciaires sont mis à la charge de la partie succombante (art. 95 et 106 al. 1 1ère phrase CPC). Le juge peut s'écarter des règles générales et répartir les frais selon sa libre appréciation, notamment lorsque le litige relève du droit de la famille (art. 107 al. 1 let. c CPC).</w:t>
      </w:r>
    </w:p>
    <w:p>
      <w:r>
        <w:t>- 18/19 -</w:t>
      </w:r>
    </w:p>
    <w:p>
      <w:r>
        <w:t>C/80/2021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w:t>
      </w:r>
    </w:p>
    <w:p>
      <w:r>
        <w:rPr>
          <w:b/>
        </w:rPr>
        <w:t>E. 4.2</w:t>
      </w:r>
    </w:p>
    <w:p>
      <w:r>
        <w:t>Les frais judiciaires de la procédure d'appel seront fixés à 1'200 fr. (art. 31 et 37 RTFMC), comprenant l'émolument de la décision ACJC/309/2023 du 3 mars 2023.</w:t>
      </w:r>
    </w:p>
    <w:p>
      <w:r>
        <w:t>Ils seront mis à la charge de l'appelante qui succombe (art. 95, 104 al. 1, 105 et 106 al. 1 1ère phrase CPC). Dans la mesure où celle-ci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 Pour des motifs d'équité liés à la nature du litige, chaque partie supportera, en revanche, ses propres dépens d'appel (art. 107 al. 1 let. c CPC). * * * * *</w:t>
      </w:r>
    </w:p>
    <w:p>
      <w:r>
        <w:t>- 19/19 -</w:t>
      </w:r>
    </w:p>
    <w:p>
      <w:r>
        <w:t>C/80/2021 PAR CES MOTIFS, La Chambre civile : A la forme : Déclare recevable l'appel interjeté le 20 février 2023 par A______ contre le chiffre 1 du dispositif de l'ordonnance OTPI/80/2023 rendue le 2 février 2023 par le Tribunal de première instance dans la cause C/80/2021-4. Au fond : Confirme le chiffre 1 du dispositif de l'ordonnance entreprise. Déboute les parties de toutes autres conclusions. Sur les frais : Arrête les frais judiciaires d'appel à 1'200 fr. et les met à la charge de A______. Dit que les frais judiciaires à la charge de A______ sont provisoirement supportés par l'Etat de Genève, sous réserve d'une décision de l'assistance judiciaire. Dit que chaque partie supporte ses propres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