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ACJC/636/2023 vom 23. Mai 2023</w:t>
      </w:r>
    </w:p>
    <w:p>
      <w:r>
        <w:t>GE Cour de justice, 2023-05-23, FR</w:t>
      </w:r>
    </w:p>
    <w:p>
      <w:r>
        <w:rPr>
          <w:b/>
        </w:rPr>
        <w:t xml:space="preserve">Quelle: </w:t>
      </w:r>
      <w:r>
        <w:t>https://mcp.opencaselaw.ch/entscheid/ge_gerichte_ACJC_636_2023</w:t>
      </w:r>
    </w:p>
    <w:p>
      <w:r>
        <w:t>FR: GE_GERICHTE ACJC/636/2023 du 23 mai 2023</w:t>
      </w:r>
    </w:p>
    <w:p>
      <w:r>
        <w:t>IT: GE_GERICHTE ACJC/636/2023 del 23 maggio 2023</w:t>
      </w:r>
    </w:p>
    <w:p>
      <w:pPr>
        <w:pStyle w:val="Heading2"/>
      </w:pPr>
      <w:r>
        <w:t>Erwägungen</w:t>
      </w:r>
    </w:p>
    <w:p>
      <w:r>
        <w:rPr>
          <w:b/>
        </w:rPr>
        <w:t>E. 1</w:t>
      </w:r>
    </w:p>
    <w:p>
      <w:r>
        <w:t>CPC), l'appel est recevable.</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qu'en l'espèce, le litige porte sur l'entretien de l'enfant, il est de nature pécuniaire (ATF 133 III 393 consid. 2). En vertu de l'art. 92 al. 2 CPC, la capitalisation du montant de la contribution d'entretien restée litigieuse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Formé en temps utile et selon la forme prescrite par la loi (art. 130 al. 1 et 314 al.</w:t>
      </w:r>
    </w:p>
    <w:p>
      <w:r>
        <w:rPr>
          <w:b/>
        </w:rPr>
        <w:t>E. 1.2</w:t>
      </w:r>
    </w:p>
    <w:p>
      <w:r>
        <w:t>La Cour revoit la cause en fait et en droit avec un plein pouvoir d'examen (art. 310 CPC). La présente cause est soumise aux maximes d'office et inquisitoire illimitée dès lors qu'elle concerne l'enfant mineur des parties (art. 296 al. 1 et al. 3 CPC), de sorte que la Cour n'est liée ni par les conclusions des parties sur ce point (art. 296 al. 3 CPC) ni par l'interdiction de la reformatio in pejus (ATF 129 III 417 consid. 2.1.1; arrêt du Tribunal fédéral 5A_843/2018 du 12 février 2020 consid. 5.2).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w:t>
      </w:r>
    </w:p>
    <w:p>
      <w:r>
        <w:t>- 7/13 -</w:t>
      </w:r>
    </w:p>
    <w:p>
      <w:r>
        <w:t>C/16020/2021 jugerait la cause différemment (arrêt du Tribunal fédéral 4A_258/2015 du 21 octobre 2015 consid. 2.4.2 et les réf. cit.).</w:t>
      </w:r>
    </w:p>
    <w:p>
      <w:r>
        <w:rPr>
          <w:b/>
        </w:rPr>
        <w:t>E. 1.3</w:t>
      </w:r>
    </w:p>
    <w:p>
      <w:r>
        <w:t>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 Le tribunal établit les faits d'office (art. 272 CPC).</w:t>
      </w:r>
    </w:p>
    <w:p>
      <w:r>
        <w:rPr>
          <w:b/>
        </w:rPr>
        <w:t>E. 1.4</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1.5</w:t>
      </w:r>
    </w:p>
    <w:p>
      <w:r>
        <w:t>L'intimée a produit de nouvelles pièces en appel.</w:t>
      </w:r>
    </w:p>
    <w:p>
      <w:r>
        <w:rPr>
          <w:b/>
        </w:rPr>
        <w:t>E. 1.5.1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novas en appel même si les conditions de l'art. 317 al. 1 CPC ne sont pas réunies (ATF 144 III 349 consid. 4.2.1).</w:t>
      </w:r>
    </w:p>
    <w:p>
      <w:r>
        <w:rPr>
          <w:b/>
        </w:rPr>
        <w:t>E. 1.5.2</w:t>
      </w:r>
    </w:p>
    <w:p>
      <w:r>
        <w:t>En l'espèce, la recevabilité des pièces nouvelles produites par l'intimée peut rester ouverte, dès lors qu'elles ne sont pas déterminantes pour l'issue du litige.</w:t>
      </w:r>
    </w:p>
    <w:p>
      <w:r>
        <w:rPr>
          <w:b/>
        </w:rPr>
        <w:t>E. 2</w:t>
      </w:r>
    </w:p>
    <w:p>
      <w:r>
        <w:t>La cause présente des éléments d'extranéité en raison de la nationalité des époux.</w:t>
      </w:r>
    </w:p>
    <w:p>
      <w:r>
        <w:t>Les parties ne contestent, à juste titre, pas la compétence des autorités judiciaires genevoises (art. 46 LDIP) et l'application du droit suisse (art. 48 al. 1 et 49 LDIP; art. 4 de la Convention de la Haye du 2 octobre 1973 sur la loi applicable aux obligations alimentaires) au présent litige.</w:t>
      </w:r>
    </w:p>
    <w:p>
      <w:r>
        <w:rPr>
          <w:b/>
        </w:rPr>
        <w:t>E. 3</w:t>
      </w:r>
    </w:p>
    <w:p>
      <w:r>
        <w:t>L'appelant remet en cause la contribution à l'entretien de l'enfant fixée par le premier juge et considère qu'il doit être libéré de tout entretien à son égard.</w:t>
      </w:r>
    </w:p>
    <w:p>
      <w:r>
        <w:t>- 8/13 -</w:t>
      </w:r>
    </w:p>
    <w:p>
      <w:r>
        <w:t>C/16020/2021</w:t>
      </w:r>
    </w:p>
    <w:p>
      <w:r>
        <w:t>Il fait valoir que sa situation financière a été mal évaluée et, en particulier, qu'au moment de lui imputer un revenu hypothétique, le Tribunal n'a pas examiné quel type d'activité il pourrait exercer ni si le revenu présumé de 5'500 fr. nets par mois était réellement réalisable. Il soutient en tout état qu'il ne se justifie pas de lui imputer un revenu hypothétique, dès lors qu'il aurait, selon lui, déployé tous les efforts que l'on pouvait attendre de lui pour trouver un nouvel emploi mieux rémunéré, mais qu'il lui est apparu impossible d'augmenter ses revenus.</w:t>
      </w:r>
    </w:p>
    <w:p>
      <w:r>
        <w:rPr>
          <w:b/>
        </w:rPr>
        <w:t>E. 3.1</w:t>
      </w:r>
    </w:p>
    <w:p>
      <w:r>
        <w:t>En vertu de l'art. 176 al. 3 CC, relatif à l'organisation de la vie séparée, lorsque les époux ont des enfants mineurs, le juge ordonne les mesures nécessaires d'après les dispositions sur les effets de la filiation (cf. art. 273 ss CC).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w:t>
      </w:r>
    </w:p>
    <w:p>
      <w:r>
        <w:rPr>
          <w:b/>
        </w:rPr>
        <w:t>E. 3.1.1</w:t>
      </w:r>
    </w:p>
    <w:p>
      <w:r>
        <w:t>Dans trois arrêts publiés (ATF 147 III 265, in SJ 2021 I 316; ATF 147 III 293 et ATF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w:t>
      </w:r>
    </w:p>
    <w:p>
      <w:r>
        <w:t>- 9/13 -</w:t>
      </w:r>
    </w:p>
    <w:p>
      <w:r>
        <w:t>C/16020/2021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t>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w:t>
      </w:r>
    </w:p>
    <w:p>
      <w:r>
        <w:t>Le minimum vital du débirentier doit en principe être préservé (ATF 137 III 59 consid. 4.2).</w:t>
      </w:r>
    </w:p>
    <w:p>
      <w:r>
        <w:rPr>
          <w:b/>
        </w:rPr>
        <w:t>E. 3.1.2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w:t>
      </w:r>
    </w:p>
    <w:p>
      <w:r>
        <w:t>- 10/13 -</w:t>
      </w:r>
    </w:p>
    <w:p>
      <w:r>
        <w:t>C/16020/2021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5A_554/2017 du 20 septembre 2017 consid. 3.2). Il faut notamment examiner si les changements étaient prévisibles pour la partie concernée (arrêt du Tribunal fédéral 5A_184/2015 du 22 janvier 2016 consid. 3.2).</w:t>
      </w:r>
    </w:p>
    <w:p>
      <w:r>
        <w:rPr>
          <w:b/>
        </w:rPr>
        <w:t>E. 3.2</w:t>
      </w:r>
    </w:p>
    <w:p>
      <w:r>
        <w:t>En l'espèce, seule est litigieuse la question de savoir si l'appelant dispose de la capacité contributive pour subvenir aux besoins de son fils dès le 1er avril 2023.</w:t>
      </w:r>
    </w:p>
    <w:p>
      <w:r>
        <w:t>L'appelant, âgé de 38 ans, dispose d'un CFC de médiamaticien et d'une expérience de huit ans dans une grande entreprise en qualité de "executive order management specialist".</w:t>
      </w:r>
    </w:p>
    <w:p>
      <w:r>
        <w:t>Après avoir, à la suite de son licenciement intervenu avec effet au 30 juin 2019, bénéficié d'indemnités-chômage, puis de l'aide de l'Hospice général, il a repris une activité de coursier dès février 2022 lui procurant un salaire moyen net de 2'330 fr. par mois.</w:t>
      </w:r>
    </w:p>
    <w:p>
      <w:r>
        <w:t>En septembre 2022, il a effectué un essai pour un emploi de "manager vendeur", pour lequel il estimait disposer des compétences et dont il espérait percevoir un salaire mensuel net d'environ 5'500 fr., essai qui n'aurait, selon ses allégations en appel, pas débouché sur une embauche.</w:t>
      </w:r>
    </w:p>
    <w:p>
      <w:r>
        <w:t>- 11/13 -</w:t>
      </w:r>
    </w:p>
    <w:p>
      <w:r>
        <w:t>C/16020/2021</w:t>
      </w:r>
    </w:p>
    <w:p>
      <w:r>
        <w:t>Dans le cadre de la procédure, l'appelant n'a produit des recherches d'emploi que pour la période allant de décembre 2020 à octobre 2021. Depuis cette date, il n'a pas rendu vraisemblable avoir entrepris toutes les démarches que l'on pouvait raisonnablement attendre de lui pour trouver un autre emploi correspondant à ses qualifications, de sorte que c'est à raison que le Tribunal lui a imputé un revenu hypothétique et que, pour ce faire, il a retenu un salaire mensuel de 5'500 fr. correspondant à ce l'appelant espérait percevoir pour l'emploi de "manager vendeur" pour lequel il s'estimait qualifié, peu important le fait que l'opportunité professionnelle précitée ne se soit pas réalisée. A titre superfétatoire, il sera relevé que ce montant apparaît, par ailleurs, adéquat au vu des salaires auxquels l'époux pourrait prétendre selon le calculateur national de salaires pour une activité à temps plein, avec une formation de CFC, huit années d'expérience et sans fonction de cadre, à savoir un salaire médian net compris entre 5'350 fr. par mois pour un emploi de type administratif (groupe de professions 44 - autres employés de type administratif) et 6'350 fr. pour un emploi de type administratif (groupe de professions 25 - spécialistes des technologies de l’information et des communications).</w:t>
      </w:r>
    </w:p>
    <w:p>
      <w:r>
        <w:t>S'agissant du temps d'adaptation octroyé à l'appelant, le délai de quatre mois accordé par le Tribunal est suffisant au vu des près de quatre années dont l'époux a disposé pour retrouver un emploi correspondant à sa pleine capacité contributive.</w:t>
      </w:r>
    </w:p>
    <w:p>
      <w:r>
        <w:t>Comme l'a à juste titre retenu le premier juge, l'appelant dispose, ainsi, d'un solde d'environ 1'750 fr. par mois dès le 1er avril 2023 (5'500 fr. - 3'745 fr.), lui permettant de s'acquitter de l'entier des charges de l'enfant gardé par la mère, charges qui s'élèvent au montant arrondi de 960 fr. par mois.</w:t>
      </w:r>
    </w:p>
    <w:p>
      <w:r>
        <w:t>Partant, c'est à raison que le Tribunal a condamné l'appelant en ce sens, de sorte que le chiffre 6 du dispositif du jugement entrepris sera confirmé.</w:t>
      </w:r>
    </w:p>
    <w:p>
      <w:r>
        <w:rPr>
          <w:b/>
        </w:rPr>
        <w:t>E. 4</w:t>
      </w:r>
    </w:p>
    <w:p>
      <w:r>
        <w:t>Les frais judiciaires de la procédure d'appel seront fixés à 1'200 fr. (art. 31 et 37 RTFMC) - comprenant un émolument de 200 fr. pour chacune des décisions ACJC/1705/2022 du 30 décembre 2022 et ACJC/248/2023 du 16 février 2023 -, partiellement couverts par l'avance de frais opérée par l'appelant, laquelle demeure intégralement acquise à l'Etat de Genève (art. 111 al. 1 CPC).</w:t>
      </w:r>
    </w:p>
    <w:p>
      <w:r>
        <w:t>Ils seront mis à la charge de l'appelant qui succombe (art. 95, 104 al. 1, 105 et 106 al. 1 1ère phrase CPC).</w:t>
      </w:r>
    </w:p>
    <w:p>
      <w:r>
        <w:t>Ce dernier sera, par conséquent, condamné à verser la somme de 200 fr. aux Services financiers du Pouvoir judiciaire.</w:t>
      </w:r>
    </w:p>
    <w:p>
      <w:r>
        <w:t>- 12/13 -</w:t>
      </w:r>
    </w:p>
    <w:p>
      <w:r>
        <w:t>C/16020/2021 Pour des motifs d'équité liés à la nature du litige, chaque partie supportera, en revanche, ses propres dépens d'appel (art. 107 al. 1 let. c CPC). * * * * *</w:t>
      </w:r>
    </w:p>
    <w:p>
      <w:r>
        <w:t>- 13/13 -</w:t>
      </w:r>
    </w:p>
    <w:p>
      <w:r>
        <w:t>C/16020/2021 PAR CES MOTIFS, La Chambre civile : A la forme : Déclare recevable l'appel interjeté le 28 novembre 2022 par A______ contre le chiffre 6 du dispositif du jugement JTPI/13347/2022 rendu le 14 novembre 2022 par le Tribunal de première instance dans la cause C/16020/2021-15. Au fond : Confirme le chiffre 6 du dispositif dudit jugement. Déboute les parties de toutes autres conclusions. Sur les frais : Arrête les frais judiciaires d'appel à 1'200 fr., les met à la charge de A______ et les compense partiellement avec l'avance fournie par ce dernier, laquelle demeure entièrement acquise à l'Etat de Genève. Condamne A______ à verser la somme de 200 fr. aux Services financiers du Pouvoir judiciaire. Dit que chaque partie supporte ses propres dépens d'appel. Siégeant : Monsieur Laurent RIEBEN, président; Monsieur Patrick CHENAUX, Madame Fabienne GEISINGER-MARIETHOZ,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