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ACJC/636/2016 vom 10. Mai 2016</w:t>
      </w:r>
    </w:p>
    <w:p>
      <w:r>
        <w:t>GE Cour de justice, 2016-05-10, FR</w:t>
      </w:r>
    </w:p>
    <w:p>
      <w:r>
        <w:rPr>
          <w:b/>
        </w:rPr>
        <w:t xml:space="preserve">Quelle: </w:t>
      </w:r>
      <w:r>
        <w:t>https://mcp.opencaselaw.ch/entscheid/ge_gerichte_ACJC_636_2016</w:t>
      </w:r>
    </w:p>
    <w:p>
      <w:r>
        <w:t>FR: GE_GERICHTE ACJC/636/2016 du 10 mai 2016</w:t>
      </w:r>
    </w:p>
    <w:p>
      <w:r>
        <w:t>IT: GE_GERICHTE ACJC/636/2016 del 10 maggio 2016</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w:t>
      </w:r>
    </w:p>
    <w:p>
      <w:r>
        <w:rPr>
          <w:b/>
        </w:rPr>
        <w:t>E. 1.2</w:t>
      </w:r>
    </w:p>
    <w:p>
      <w:r>
        <w:t>En l'espèce, l'appel est recevable pour avoir été interjeté dans le délai de trente jours et dans la forme prescrite par la loi (art. 130, 131, 145 al. 1 let. c, 308 al. 1 let. a et 311 al. 1 CPC) contre une décision incidente (arrêt du Tribunal fédéral 4A_572/2014 du 14 octobre 2014 consid. 2.1), dans une affaire patrimoniale dont</w:t>
      </w:r>
    </w:p>
    <w:p>
      <w:r>
        <w:t>- 6/15 -</w:t>
      </w:r>
    </w:p>
    <w:p>
      <w:r>
        <w:t>C/18378/2013 la valeur litigieuse au dernier état des conclusions était estimée à 46'069 fr. (art. 91 CPC).</w:t>
      </w:r>
    </w:p>
    <w:p>
      <w:r>
        <w:rPr>
          <w:b/>
        </w:rPr>
        <w:t>E. 1.3</w:t>
      </w:r>
    </w:p>
    <w:p>
      <w:r>
        <w:t>La Cour revoit la cause avec un pouvoir de cognition complet (art. 310 CPC). Pour le surplus, dans la mesure des conclusions prises en appel (art. 315 al. 1 CPC), la Cour applique la maxime des débats et le principe de disposition (art. 55 al. 1 et 58 al. 1 CPC).</w:t>
      </w:r>
    </w:p>
    <w:p>
      <w:r>
        <w:rPr>
          <w:b/>
        </w:rPr>
        <w:t>E. 2</w:t>
      </w:r>
    </w:p>
    <w:p>
      <w:r>
        <w:t>L'appelante a produit 22 pièces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Parmi les pièces produites par l'appelante figurent des extraits de Registres du commerce (pièces n° 1 et 2) et un extrait du convertisseur de devises Internet OANDA (pièce n° 22), qui constituent des faits notoires et seront donc admis. En revanche, les pièces n° 3 à 10 et n° 21 sont toutes antérieures à la date à laquelle le Tribunal a gardé la cause à juger (soit le 13 mai 2015), de sorte qu'elles auraient pu être produites en première instance. Les pièces n° 19 et 20 (extraits de l'encyclopédie Internet Wikipédia) auraient également pu être produites devant le Tribunal. Dans la mesure où l'appelante ne fournit aucune explication sur la production tardive de ces pièces (pseudo nova), elles sont irrecevables en appel, ainsi que les allégués de fait s'y rapportant. Pour le reste, l'appelante a produit des documents qu'elle avait déjà fournis lors de la procédure de première instance (pièces n° 11 et 13 à 18), ou qui résultent de celle-ci et figurent donc déjà au dossier (pièce n° 12).</w:t>
      </w:r>
    </w:p>
    <w:p>
      <w:r>
        <w:rPr>
          <w:b/>
        </w:rPr>
        <w:t>E. 3</w:t>
      </w:r>
    </w:p>
    <w:p>
      <w:r>
        <w:t>La présente cause revêt un aspect international en raison du siège de l'appelante en Suisse et de celui de l'intimée en Allemagne. En matière internationale, le for et, partant, l'exception d'incompétence sont régis par la LDIP, sous réserve des traités internationaux (art. 1 al. 1 et 2 LDIP). Dès lors que l'intimée a introduit son action en justice à l'encontre de l'appelante le 26 mai 2014, soit après que la Convention de Lugano (CL) du 30 octobre 2007 concernant la compétence judiciaire et l'exécution des décisions en matière civile et commerciale est entrée en vigueur en Allemagne et en Suisse, respectivement les 1er janvier 2010 et 1er janvier 2011, la compétence à raison du lieu est déterminée par ladite Convention (art. 63 § 1 CL, RS 0.275.12), le présent litige étant au demeurant de nature civile et commerciale au sens de l'art. 1 § 1 CL.</w:t>
      </w:r>
    </w:p>
    <w:p>
      <w:r>
        <w:t>- 7/15 -</w:t>
      </w:r>
    </w:p>
    <w:p>
      <w:r>
        <w:t>C/18378/2013</w:t>
      </w:r>
    </w:p>
    <w:p>
      <w:r>
        <w:rPr>
          <w:b/>
        </w:rPr>
        <w:t>E. 4</w:t>
      </w:r>
    </w:p>
    <w:p>
      <w:r>
        <w:t>L'appelante fait en substance grief au Tribunal d'avoir violé le droit en jugeant qu'aucune prorogation de for n'avait été conclue entre elle et C______, de sorte que c'était à bon droit que l'intimée l'avait attraite au for de son domicile à Genève. 4.1.1 Dans la règle, les personnes domiciliées sur le territoire d'un Etat lié par la Convention de Lugano sont attraites, quelle que soit leur nationalité, devant les juridictions de cet Etat, sous réserve des dispositions de la Convention (art. 2 § 1 CL; for du défendeur, cf. BUCHER, Loi sur le droit international privé, Convention de Lugano, in Commentaire romand, 2011, n° 1 ss ad art. 2 CL). Les sociétés et les personnes morales sont domiciliées là où est situé leur siège statutaire (art. 60 § 1 let. a CL). Selon l'art. 23 § 1 CL (correspondant en substance à l'art. 17 § 1 aCL),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notamment conclue : a) par écrit ou verbalement avec confirmation écrite; ou b) sous une forme qui soit conforme aux habitudes que les parties ont établies entre elles. Toute transmission par voie électronique qui permet de consigner durablement la convention (attributive de juridiction) est considérée comme revêtant une forme écrite (art. 23 § 2 CL). 4.1.2 Selon la jurisprudence de la Cour de justice de l'Union européenne (CJUE) relative à l'art. 17 aCL, les formes exigées par cette disposition conventionnelle ont pour fonction d'assurer que le consentement des parties soit effectivement établi (arrêt de la CJUE du 10 mars 1992 dans l'affaire Powell Duffryn contre Wofgang Petereit, C/214/89, consid. 24). L'art. 23 § 1 CL doit être interprété de manière autonome (ATF 138 III 386 consid. 2.6; arrêts du Tribunal fédéral 4A_177/2012 du 17 juillet 2012 consid. 3.3 et 4C.163/2011 du 7 août 2001 consid. 2b; GROLIMUND, Lugano-Übereinkommen (LugÜ) zum internationalen Zivilverfahrensrecht, Kommentar, 2011, n° 2 et 53 ad art. 23 CL) et restrictive (ACJC/840/2013 du 28 juin 2013 consid. 2.2 et les références citées). Les exigences de forme de l'art. 23 CL doivent en effet être appliquées avec rigueur, car l'élection de for déroge au principe général du for du défendeur (art. 2</w:t>
      </w:r>
    </w:p>
    <w:p>
      <w:r>
        <w:t>- 8/15 -</w:t>
      </w:r>
    </w:p>
    <w:p>
      <w:r>
        <w:t>C/18378/2013 § 1 CL).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à l'art. 23 CL (arrêts du Tribunal fédéral 4A_592/2014 du 25 février 2015 consid. 2.1 et les références citées).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(arrêt du Tribunal fédéral 4A_592/2014 précité consid. 2.1 et les références citées; ATF 131 III 398 consid. 7.1.1). La clause de prorogation de for peut se trouver dans des conditions générales, pourvu que la convention des parties s'y réfère, directement ou même indirectement, par exemple par un renvoi à une transaction antérieure englobant ces conditions (BUCHER, op. cit., n° 16 ad art. 23 CL; arrêt de la CJUE du 14 décembre 1976 dans l'affaire Estasis Salotti di Colzani Aimo e Gianmario Colzani s.n.c. contre Rüwa Polstereimaschinen GmbH, C-24-76, consid. 9 et ss). Si la clause d'élection de for est insérée dans les conditions générales d'une partie, il faut que l'autre partie ait su ou pu savoir qu'elle se trouvait dans ces conditions, avant de les accepter (BUCHER, op. cit., n° 17 ad art. 23 CL). Selon la jurisprudence du Tribunal fédéral, lorsqu'une clause d'élection de for est insérée dans des conditions générales, les exigences de forme de l'art. 23 § 1 let. a CL impliquent que l'utilisateur des conditions générales donne à son partenaire contractuel, avant la conclusion du contrat, une possibilité raisonnable de prendre connaissance desdites conditions. Mais l’indication que les conditions générales peuvent être obtenues à un certain numéro de fax ne constitue pas une possibilité suffisante de prise de connaissance et ne répond pas aux exigences strictes de l’art. 23 § 1 let. a CL (ATF 139 III 345 consid. 4.4 et 4.4.2; DUTOIT, Droit international privé, in JdT 2014 II p. 182 concernant l'arrêt précité). Lorsque les parties communiquent par email, il y a une différence négligeable entre l'ouverture d'un document joint qui contient les conditions générales et le renvoi à la page Internet du vendeur où figure ses conditions générales, ou le seul fait de cliquer sur le lien correspondant. L'on peut déduire de l'utilisation de ce moyen de communication pour la conclusion du contrat, d'une part, que les parties</w:t>
      </w:r>
    </w:p>
    <w:p>
      <w:r>
        <w:t>- 9/15 -</w:t>
      </w:r>
    </w:p>
    <w:p>
      <w:r>
        <w:t>C/18378/2013 sont d'accord d'utiliser Internet à cette fin et, d'autre part, qu'il est certain que le cocontractant dispose de la possibilité d'utiliser Internet. Dans ces conditions, on peut exiger du cocontractant qu'il suive une indication figurant sur la page Internet du vendeur et prenne connaissance des conditions générales qui s'y trouvent. La question a été laissée ouverte de savoir si un simple renvoi à la page Internet du vendeur, sans remise des conditions générales, est suffisant lorsque les parties ne communiquent pas par email (ATF 139 III 345 consid. 4.4.1). Selon la jurisprudence de la CJUE, l’art. 23 § 2 du règlement (CE) n° 44/2001 du Conseil du 22 décembre 2000 concernant la compétence judiciaire, la reconnaissance et l’exécution des décisions en matière civile et commerciale – qui correspond en substance à l'art. 23 CL – doit être interprété en ce sens que la technique d’acceptation par "clic" des conditions générales d’un contrat de vente conclu par voie électronique, qui contiennent une convention attributive de juridiction, constitue une transmission par voie électronique permettant de consigner durablement cette convention, au sens de cette disposition, lorsque cette technique rend possible l’impression et la sauvegarde du texte de celles-ci avant la conclusion du contrat (arrêt de la CJUE du 21 mai 2015 dans l'affaire Jaouad El Majdoub contre CarsOnTheWeb.Deutschland GmbH, C-322/14). L'hypothèse prévue par l'art. 23 ch. 1 let b CL (convention attributive de juridiction conclue sous une forme qui soit conforme aux habitudes que les parties ont établies entre elles) est réalisée lorsqu'il existe entre les parties des relations commerciales prolongées et répétées dans le temps propres à renforcer une forme de pratique interne (ATF 131 III 398 = JdT 2006 I 315 consid. 7.2). Selon la doctrine, l'habitude qui est déterminante doit porter non seulement sur le contenu de la convention de prorogation de for mais également sur l'accord de volonté des parties (BUCHER, op. cit, n° 22 ad art. 23 CL). Il doit s'agir d'une pratique sur laquelle les parties se sont réellement accordées; l'habitude en tant que telle ne remplace pas la condition de validité matérielle de l'accord. Il ne suffit ainsi pas que la clause d'élection de for soit seulement imprimée sur les factures ou les confirmations de commande (BERGER, in Basler Kommentar, Lugano Ubereinkommen, 2011, n° 49 ad art. 23 CL). 4.1.3 Le fardeau de la preuve incombe à la partie qui se prévaut d'une prorogation de compétence (GROLIMUND, op. cit., n° 51 ad art. 23 CL). La prorogation de for contenue dans un contrat engage également le cessionnaire de droits contractuels, sauf si un tel transfert a été exclu par les parties ou s'il est incompatible avec la nature du contrat (BUCHER, op. cit., n° 51 ad art. 23 CL). 4.2.1 L'appelante se plaint d'une violation de l'art. 23 § 1 let. a CL, au motif que le Tribunal a considéré selon elle à tort qu'aucune indication de C______ ne lui permettait de déterminer où elle pouvait prendre connaissance des conditions</w:t>
      </w:r>
    </w:p>
    <w:p>
      <w:r>
        <w:t>- 10/15 -</w:t>
      </w:r>
    </w:p>
    <w:p>
      <w:r>
        <w:t>C/18378/2013 générales. Elle soutient que les indications figurant sur les factures et les confirmations de commande émises par C______ (à savoir : "The general terms and conditions of C______ AG are valid. The goods remain the property of C______ AG until payment is received full. In case of possible complaints please request RMA-No. You will find the RMA-Formular under http://www.C______.com") permettent à toute personne raisonnable de comprendre que les conditions générales de C______ se trouvent sur son site Internet. Selon l'appelante, comme ledit site Internet devait être consulté pour toute réclamation, il était possible d'en déduire que les conditions générales – qui sont généralement consultées par les acheteurs en cas de problème ou de réclamation – s'y trouvaient, cette interprétation étant confortée en l'espèce par le fait que la référence aux conditions générales et celle au site Internet de C______ figurent dans le même paragraphe des documents. Elle précise qu'il n'est pas contesté que les conditions générales de C______ étaient disponibles en ligne. L'appelante fait valoir qu'elle a utilisé le formulaire RMA, disponible sur le site Internet de C______, et qu'elle s'est ainsi rendue à l'adresse où les conditions générales étaient disponibles. Elle en déduit que les indications fournies par C______ lui permettaient de prendre connaissance des conditions générales applicables à la vente, de sorte que ces dernières avaient été valablement intégrées au contrat quant à la forme et au fond. Selon elle, le Tribunal s'est donc livré à une interprétation des preuves incompatible avec l'art. 23 CL. L'appelante reproche également au premier juge d'avoir retenu qu'elle n'avait pas déclaré expressément accepter les conditions générales de C______. Au terme d'un raisonnement confus, elle semble alléguer que, dans la mesure où elle a utilisé la "procédure RMA" prescrite par C______ pour lui adresser sa demande de garantie, elle a accepté, à tout le moins par actes concluants, que les clauses figurant dans les confirmations de commande, bons de livraison et factures émis par C______ fassent partie intégrante de leur contrat. Dès lors, si cette "procédure RMA" fait partie intégrante du contrat conclu entre elle et C______, il n'y a, selon elle, pas de raison valable de considérer que les conditions générales de C______, qui sont elles aussi mentionnées explicitement dans les mêmes documents, ne font pas elles aussi partie du contrat, y compris pour ce qui a trait à l'élection de for. Enfin, l'appelante soutient que la position de l'intimée est contradictoire car, pour cette dernière, la "procédure RMA" mentionnée dans les confirmations de commande, bons de livraisons et factures s'applique obligatoirement, alors que les conditions générales citées par les mêmes documents s'appliquent au bon vouloir du vendeur, qui peut ainsi librement choisir le for. Il découle de ce raisonnement que l'appelante semble assimiler la question de l'intégration des conditions générales à celle de la procédure de retour des marchandises défectueuses. Or, ces questions ne sont pas comparables, car l'intégration des conditions générales au contrat obéit à des exigences légales spécifiques visant à protéger l'acheteur, en particulier lorsque ces conditions</w:t>
      </w:r>
    </w:p>
    <w:p>
      <w:r>
        <w:t>- 11/15 -</w:t>
      </w:r>
    </w:p>
    <w:p>
      <w:r>
        <w:t>C/18378/2013 générales contiennent une clause d'élection de for (cf. supra consid. 4.1.1 et 4.1.2), tandis que les prescriptions du vendeur sur le retour des marchandises constituent de simples modalités d'exécution. En l'occurrence, les documents précités précisent certes que le formulaire RMA est disponible sur le site Internet de C______ en indiquant le lien correspondant, mais ils ne contiennent pas d'indication similaire concernant les conditions générales. L'intimée fait valoir de manière convaincante que ce renvoi limité au formulaire RMA, qui figure dans une troisième phrase après une ligne concernant une réserve de propriété, ne constitue pas une invitation formelle au sens de l'art. 23 CL à consulter sur le site Internet de C______ les conditions générales dont il est fait mention à la première phrase. En effet, l'indication du renvoi au site Internet du vendeur s'agissant du formulaire RMA n'est pas suffisante, en soi, pour en déduire que l'on y trouve également les conditions générale, et a fortiori une clause de prorogation de for. Dans la mesure où il faut appliquer avec rigueur les exigences de forme de l'art. 23 CL, le présent cas – dans lequel il n'existe aucune invitation expresse à consulter les conditions générales sur le site Internet de C______ – ne peut être assimilé à l'exemple évoqué dans la jurisprudence du Tribunal fédéral (cf. ATF 139 III 345 consid. 4.4.1, cité supra consid. 4.1.2), dans lequel il s'agit de l'ouverture d'un document joint à un email qui contient les conditions générales du vendeur, ou d'un renvoi à la page Internet où figure les conditions générales, ou encore du seul fait de cliquer sur le lien correspondant. Dans ces conditions, lorsque les parties communiquent par email et que le contrat a été conclu par Internet, il peut être exigé du cocontractant qu'il suive une indication figurant sur la page Internet du vendeur et prenne connaissance des conditions générales qui s'y trouvent. Toutefois, en l'espèce, l'appelante n'a pas allégué, ni a fortiori démontré, avoir été invitée par C______ à suivre un renvoi à sa page Internet pour y prendre connaissance des conditions générales, ni à cliquer sur le lien correspondant, et encore moins avoir été invitée à ouvrir un document joint à un email contenant les conditions générales. Dans ces circonstances, cette jurisprudence, dont se prévaut l'appelante, ne lui est d'aucun secours. Enfin, l'appelante ne saurait être suivie lorsqu'elle soutient avoir accepté les conditions générales de C______, à tout le moins par actes concluants, en utilisant la "procédure RMA" prescrite par le vendeur. Comme le relève l'intimée, l'art. 23 CL exige une acceptation formelle de la clause d'élection de for et une telle acceptation ne peut être guérie des mois plus tard par une réclamation dans les formes propres au processus de retour des marchandises défectueuses. Il s'ensuit que les griefs de l'appelante tombent à faux; le Tribunal ne s'est pas livré à une interprétation erronée des moyens de preuve conduisant à une violation de l'art. 23 § 1 let. a CL.</w:t>
      </w:r>
    </w:p>
    <w:p>
      <w:r>
        <w:t>- 12/15 -</w:t>
      </w:r>
    </w:p>
    <w:p>
      <w:r>
        <w:t>C/18378/2013 4.2.2 L'appelante se plaint en outre d'une violation de l'art. 23 § 1 let. b CL, le premier juge ayant considéré qu'il ne ressortait pas de la procédure qu'elle et C______ s'étaient accordées sur une pratique durant leurs relations commerciales. Elle expose avoir passé une dizaine de commandes auprès de C______ entre 2010 et 2011 et que tous les documents échangés lors de ces commandes indiquaient, d'une part, que les conditions générales de C______ étaient applicables et, d'autre part, qu'en cas de réclamation, le formulaire RMA devait être utilisé. L'appelante indique avoir utilisé ce formulaire dans le cadre de cette relation contractuelle, sans toutefois n'avoir jamais déclaré de manière explicite qu'elle acceptait cette manière de fonctionner, son acceptation étant intervenue par actes concluants. Elle soutient que, de la même manière, elle ne s'était jamais opposée à l'application des conditions générales de C______ et les avait ainsi valablement acceptées. Selon l'appelante, elle et C______ avaient démontré, par leur attitude, qu'elles souhaitaient que les conditions générales fassent partie de leur relation contractuelle, cette intégration étant d'autant plus importante que les parties n'avaient jamais signé de contrat formalisant leurs transactions. Elles avaient établi une pratique consistant à inclure systématiquement les conditions générales de C______ à toutes les commandes et cette pratique étaient déjà bien établie au moment de la commande litigieuse, de sorte que la condition de l'art. 23 § 1 let. b CL était remplie. A nouveau, l'appelante fait fausse route en assimilant l'intégration des conditions générales, qui semble à ses yeux induire automatiquement la validation de la clause d'élection de for qu'elles contiennent, à l'acceptation de la procédure de retour des marchandises prescrite par le vendeur. Selon la doctrine (cf. supra consid. 4.1.2 in fine), l'art. 23 § 1 let. b CL exige une pratique sur laquelle les parties se sont réellement accordées; l'habitude en tant que telle ne remplace pas la condition de validité matérielle de l'accord, étant précisé qu'il ne suffit pas que la clause d'élection de for soit seulement imprimée sur les factures ou les confirmations de commande. Dès lors, la seule mention de l'applicabilité des conditions générales de C______ sur les factures et les confirmations de commande adressées à l'appelante, sans aucune indication concernant la clause de prorogation de for litigieuse, ne suffit certainement pas à satisfaire les conditions de la disposition précitée. Enfin, il ne saurait être admis que l'appelante et C______ ont entretenu des relations commerciales prolongées et répétées dans le temps, s'agissant d'une relation contractuelle qui n'a duré qu'un an et donné lieu à six commandes seulement. En conséquence, les conditions de l'art. 23 § 1 let. b CL ne sont pas remplies in casu, comme retenu à juste titre par le premier juge.</w:t>
      </w:r>
    </w:p>
    <w:p>
      <w:r>
        <w:t>- 13/15 -</w:t>
      </w:r>
    </w:p>
    <w:p>
      <w:r>
        <w:t>C/18378/2013 4.2.3 Au vu de l'ensemble de ce qui précède, c'est à bon droit que le Tribunal a rejeté l'incident d'incompétence à raison du lieu soulevé par l'appelante.</w:t>
      </w:r>
    </w:p>
    <w:p>
      <w:r>
        <w:rPr>
          <w:b/>
        </w:rPr>
        <w:t>E. 5</w:t>
      </w:r>
    </w:p>
    <w:p>
      <w:r>
        <w:t>L'appelante reproche au Tribunal d'avoir admis la dénonciation d'instance formée par l'intimée à l'encontre de C______.</w:t>
      </w:r>
    </w:p>
    <w:p>
      <w:r>
        <w:rPr>
          <w:b/>
        </w:rPr>
        <w:t>E. 5.1</w:t>
      </w:r>
    </w:p>
    <w:p>
      <w:r>
        <w:t>Une partie (le dénonçant) peut dénoncer l'instance à un tiers (le dénoncé) lorsqu'elle estime, pour le cas où elle succomberait, qu'elle pourrait faire valoir des prétentions contre lui ou être l'objet de prétention de sa part (art. 78 al. 1 CPC). La dénonciation d'instance n'est subordonnée à aucune condition dès lors que le dénoncé n'est pas obligé de réagir. Il n'est ainsi pas nécessaire au dénonçant de démontrer qu'il a un intérêt juridique (HALDY, in CPC, Code de procédure civile commenté, op. cit., n° 4 ad art. 78 CPC).</w:t>
      </w:r>
    </w:p>
    <w:p>
      <w:r>
        <w:rPr>
          <w:b/>
        </w:rPr>
        <w:t>E. 5.2</w:t>
      </w:r>
    </w:p>
    <w:p>
      <w:r>
        <w:t>Au cas où l'intimée venait à être déboutée de sa demande au fond contre l'appelante, elle pourrait estimer avoir des prétentions à l'encontre de C______, sur la base du contrat d'affacturage conclu avec cette dernière. Dans ces circonstances, c'est à bon droit que le Tribunal a admis la dénonciation d'instance contestée, après avoir constaté sa compétence à raison du lieu. Partant, l'appelante sera déboutée de sa conclusion en irrecevabilité de la dénonciation d'instance formée par l'intimée à l'encontre de C______.</w:t>
      </w:r>
    </w:p>
    <w:p>
      <w:r>
        <w:rPr>
          <w:b/>
        </w:rPr>
        <w:t>E. 6.1</w:t>
      </w:r>
    </w:p>
    <w:p>
      <w:r>
        <w:t>Les frais, qui comprennent les frais judiciaires et les dépens, sont mis à la charge de la partie qui succombe (art. 95 et 106 al. 1 1ère phrase CPC). Les frais judiciaires sont fixés et répartis d'office (art. 105 CPC). Ils sont compensés avec les avances fournies par les parties; la personne à qui incombe la charge des frais verse le montant restant (art. 111 al. 1 CPC). Le tribunal fixe les dépens selon le tarif (art. 95 al. 3, 96 et 105 al. 2 CPC).</w:t>
      </w:r>
    </w:p>
    <w:p>
      <w:r>
        <w:rPr>
          <w:b/>
        </w:rPr>
        <w:t>E. 6.2</w:t>
      </w:r>
    </w:p>
    <w:p>
      <w:r>
        <w:t>Les frais judiciaires d'appel seront arrêtés à 5'000 fr. (art. 36 RTFMC), ce montant incluant 2'500 fr. de frais de notification à C______ en Allemagne. Ces frais seront mis à la charge de l'appelante, qui succombe dans l'intégralité de ses conclusions, et partiellement compensés avec l'avance de frais de 3'500 fr. versée par celle-ci, qui restera acquise à l'Etat de Genève, soit pour lui les Services financiers du Pouvoir judiciaire (art. 111 al. 1 CPC). L'appelante sera en conséquence condamnée à verser 1'500 fr. à l'Etat de Genève, soit pour lui les Services financiers du Pouvoir judiciaire.</w:t>
      </w:r>
    </w:p>
    <w:p>
      <w:r>
        <w:t>- 14/15 -</w:t>
      </w:r>
    </w:p>
    <w:p>
      <w:r>
        <w:t>C/18378/2013 L'appelante sera en outre condamnée à verser à l'intimée, assistée d'un représentant professionnel, la somme de 3'000 fr., débours et TVA inclus, à titre de dépens d'appel (art. 84, 85 et 90 RTFMC; art. 25 et 26 LaCC).</w:t>
      </w:r>
    </w:p>
    <w:p>
      <w:r>
        <w:rPr>
          <w:b/>
        </w:rPr>
        <w:t>E. 7</w:t>
      </w:r>
    </w:p>
    <w:p>
      <w:r>
        <w:t>La valeur litigieuse, au sens de l'art. 51 al. 4 LTF, est supérieure à 30'000 fr. * * * * * *</w:t>
      </w:r>
    </w:p>
    <w:p>
      <w:r>
        <w:t>- 15/15 -</w:t>
      </w:r>
    </w:p>
    <w:p>
      <w:r>
        <w:t>C/18378/2013 PAR CES MOTIFS, La Chambre civile : A la forme : Déclare recevable l'appel interjeté le 1er octobre 2015 par A______ SARL contre le jugement JTPI/9696/2015 rendu le 26 août 2015 par le Tribunal de première instance dans la cause C/18378/2013. Au fond : Confirme ce jugement. Déboute les parties de toutes autres conclusions. Sur les frais : Arrête les frais judiciaires d'appel à 5'000 fr., les met à charge de A______ SARL et dit qu'ils sont partiellement compensés avec l'avance de frais versée par celle-ci, qui reste acquise à l'Etat de Genève. Condamne A______ SARL à verser 1'500 fr. à l'Etat de Genève, soit pour lui les Services financiers du Pouvoir judiciaire. Condamne A______ SARL à payer à B______ AG la somme de 3'000 fr. à titre de dépens d'appel. Siégeant : Madame Valérie LAEMMEL-JUILLARD, présidente; Madame Nathalie LANDRY- BARTHE et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qui doit au surplus remplir les conditions prévues à l'art. 93 LTF au vu du la nature incidente du présent arrêt.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