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ACJC/632/2024 vom 23. Mai 2024</w:t>
      </w:r>
    </w:p>
    <w:p>
      <w:r>
        <w:t>GE Cour de justice, 2024-05-23, FR</w:t>
      </w:r>
    </w:p>
    <w:p>
      <w:r>
        <w:rPr>
          <w:b/>
        </w:rPr>
        <w:t xml:space="preserve">Quelle: </w:t>
      </w:r>
      <w:r>
        <w:t>https://mcp.opencaselaw.ch/entscheid/ge_gerichte_ACJC_632_2024</w:t>
      </w:r>
    </w:p>
    <w:p>
      <w:r>
        <w:t>FR: GE_GERICHTE ACJC/632/2024 du 23 mai 2024</w:t>
      </w:r>
    </w:p>
    <w:p>
      <w:r>
        <w:t>IT: GE_GERICHTE ACJC/632/2024 del 23 maggio 2024</w:t>
      </w:r>
    </w:p>
    <w:p>
      <w:pPr>
        <w:pStyle w:val="Heading2"/>
      </w:pPr>
      <w:r>
        <w:t>Erwägungen</w:t>
      </w:r>
    </w:p>
    <w:p>
      <w:r>
        <w:rPr>
          <w:b/>
        </w:rPr>
        <w:t>E. 8</w:t>
      </w:r>
    </w:p>
    <w:p>
      <w:r>
        <w:t>premiers mois de l'année 2015. Il fait valoir que la précitée n'avait pas l'habitude de procéder à des paiements en espèces, ce qui constituait l'indice d'actes matériels destinés à diminuer la valeur des actifs en prévision d'une prochaine séparation de biens. 9.10.2 Dans deux cas, des biens d'acquêts qui n'existaient plus au jour de la dissolution du régime doivent être réunis, en valeur, aux acquêts. Il s'agit notamment des aliénations de biens d'acquêts qu'un époux a faites pendant le régime dans l'intention de compromettre la participation de son conjoint (art. 208 al. 1 ch. 2 CC; arrêt du Tribunal fédéral 5A_339/2015 du 18 novembre 2015 consid. 8.3 résumé in Droitmatrimonial.ch, Newsletter janvier 2016). Le but de cette disposition est de protéger l'expectative de chacun des époux en ce qui concerne sa participation au bénéfice de l'autre. Le chiffre 2 de l'art. 208 al. 1 CC vise tous les actes juridiques par lesquels, durant le régime, un époux dispose d'un acquêt et diminue ainsi la valeur de cette masse; en font partie les actes à titre onéreux désavantageux de nature à compromettre la participation du conjoint (ATF 118 II 27 consid. 4; arrêt du Tribunal fédéral 5A_339/2015 précité, ibidem). En vertu de l'art. 8 CC, l'époux qui réclame la réunion aux acquêts selon l'art. 208 CC doit prouver que les conditions permettant une telle opération sont remplies. Il doit prouver non seulement que le bien en cause a appartenu à l'autre époux à un moment donné, mais encore ce qu'il en est advenu (ATF 118 II 27 précité consid. 2 et 3b; arrêt du Tribunal fédéral 5A_339/2015 précité, ibidem). La doctrine considère à cet égard que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dans la mesure où il s'agit de diminutions déloyales de la fortune (BURGAT, in Droit matrimonial, Commentaire pratique, 2016, n. 21 ad art. 208 CC). 9.10.3 En l'espèce, le Tribunal a considéré que les retraits effectués par l'intimée entre janvier et août 2015 avaient représenté environ 2'100 fr. par mois et étaient en partie justifiés par les factures de paiement en espèces qu'elle avait produites, lesquelles totalisaient plus de 7'000 fr. Il ressortait en outre du dossier que du temps de la vie commune, l'appelant pouvait donner de l'argent liquide à l'intimée. Il était par conséquent crédible que les retraits litigieux, dont le montant n'était pas particulièrement élevé pour un groupe de 5 personnes, avaient servi à l'usage personnel de la famille. Aucun élément ne démontrait en tout état de cause qu'ils avaient été effectués pour faire des libéralités à des tiers ou dans l'intention de compromettre la participation de l'appelant à la liquidation du régime matrimonial. Or, en se bornant à affirmer qu'il n'était pas usuel pour l'intimée</w:t>
      </w:r>
    </w:p>
    <w:p>
      <w:r>
        <w:t>- 44/49 -</w:t>
      </w:r>
    </w:p>
    <w:p>
      <w:r>
        <w:t>C/24604/2017 d'effectuer des paiements en liquide du temps de la vie commune et que les retraits "massifs" qu'elle avait effectués dénotaient une intention de compromettre sa participation à ses acquêts, l'appelant ne cherche en rien à démontrer que le Tribunal aurait mal apprécié l'ensemble des éléments qui lui étaient soumis, en considérant que l'intimée avait fourni des explications valables sur l'utilisation des montants prélevés d'une part, et que les retraits litigieux ne dénotaient aucune intention de compromettre la participation de son ex-époux à ses acquêts d'autre part. Une telle intention est d'autant moins évidente que les retraits litigieux se sont étalés sur une période de huit mois, qu'ils sont en partie justifiés par les factures produites et qu'ils ne paraissent pas hors de proportion s'agissant d'une famille de cinq personnes. A supposer qu'il soit recevable, le grief de l'appelant s'avère dès lors également infondé sur ce point. La décision querellée sera par conséquent confirmée en tant qu'elle refuse de réintégrer aux acquêts de l'intimée les 16'930 fr. que celle-ci a retirés en liquide au cours des 8 premiers mois de l'année 2015. 9.11 Les griefs de l'appelant à l'encontre de la liquidation du régime matrimonial opérée par le premier juge étant dénués de fondement, le jugement entrepris sera dès lors confirmé en tant qu'il arrête les bénéfices d'acquêts des parties à 477'960 fr. 80 pour l'appelant et à 42'274 fr. 50 pour l'intimée, et condamne le premier, après compensation des créances réciproques, à verser la somme de 217'843 fr. 15 à la seconde à titre de liquidation du régime matrimonial, avec intérêts à 5% dès la date d'entrée en force du jugement.</w:t>
      </w:r>
    </w:p>
    <w:p>
      <w:r>
        <w:rPr>
          <w:b/>
        </w:rPr>
        <w:t>E. 10</w:t>
      </w:r>
    </w:p>
    <w:p>
      <w:r>
        <w:t>L'appelant conclut encore à la condamnation de l'intimée à lui verser la somme de 20'775 fr. à titre de trop-perçu de contributions d'entretien entre le 1er mai 2021 et le 31 mars 2023. 10.1.1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Le débiteur d'aliments qui ne demande pas seulement au juge de prendre en compte ce qu'il a déjà payé, mais réclame aussi la restitution d'un excédent peut agir en ce sens par le biais d'une action ordinaire ou dans le contexte de la dissolution du régime matrimonial (arrêt du Tribunal fédéral 5A_595/2018 du</w:t>
      </w:r>
    </w:p>
    <w:p>
      <w:r>
        <w:rPr>
          <w:b/>
        </w:rPr>
        <w:t>E. 15</w:t>
      </w:r>
    </w:p>
    <w:p>
      <w:r>
        <w:t>mai 2019 consid. 3.3.2 résumé in Droitmatrimonial.ch). Le régime matrimonial n'a en principe pas d'influence sur l'exigibilité des dettes entre époux. L'art. 205 al. 3 CC – selon lequel à la dissolution du régime matrimonial, les époux règlent leurs dettes réciproques – ne signifie donc pas que toutes les dettes entre époux deviennent exigibles à la dissolution et doivent être effectivement réglées au cours de la liquidation. Mais les dettes envers le conjoint,</w:t>
      </w:r>
    </w:p>
    <w:p>
      <w:r>
        <w:t>- 45/49 -</w:t>
      </w:r>
    </w:p>
    <w:p>
      <w:r>
        <w:t>C/24604/2017 comme d'ailleurs les autres dettes, doivent au moins être inventoriées pour déterminer le patrimoine de chaque époux. Elles seront ensuite réparties entre ses biens propres et ses acquêts conformément à l'art. 209 al. 2 CC et influenceront ainsi le montant de son bénéfice ou de son déficit (STEINAUER/FOUNTOULAKIS, in Code civil I, Commentaire romand, 2ème éd. 2023, art. 205 CC, n. 24 et les références). La dissolution du régime matrimonial rétroagissant au jour de la demande en divorce, il ne peut plus y avoir ni formation de nouveaux acquêts, ni accroissement de ceux-ci pouvant donner lieu à un droit de participation au bénéfice. Il ne peut plus davantage y avoir de modification des passifs du compte d'acquêts à compter de ce moment-là. Les dettes qui sont nées postérieurement à la dissolution du régime ne sont plus prises en considération (arrêt du Tribunal fédéral 5A_26/2014 précité, consid. 6.2). 10.1.2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137 III 49 consid. 3.5; 134 III 426 consid. 1.2; arrêt du Tribunal fédéral 5A_182/2018 du 25 juin 2018 consid. 3.2).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(ATF 111 II 401 consid. 4b; 109 Ia 53 consid. 2; arrêt du Tribunal fédéral 5A_182/2018 précité, ibidem). Elle s'étend ainsi également aux époux soumis au régime de la séparation de biens, lequel ne prévoit pas de biens matrimoniaux et de liquidation des biens (art. 247 CC; cf. ATF 111 II 401 précité consid. 4c; 109 Ia 53 précité, ibidem; arrêt du Tribunal fédéral 5A_182/2018 précité, ibidem). 10.2.1 En l'espèce, la conclusion de l'appelant tendant à la condamnation de l'intimée à lui restituer les contributions d'entretien versées en trop entre le 1er mai 2021 et le 31 mars 2023 est nouvelle. Elle se fonde toutefois sur un fait nouveau, à savoir la réduction par le Tribunal de la contribution d'entretien octroyée à l'intimée sur mesures protectrices de l'union conjugale à 950 fr. par mois dès le 1er mai 2021 et la suppression de ladite contribution à compter du 1er février 2022. Cette conclusion est en outre en rapport avec la prétention initiale de l'appelant tendant à la suppression de ladite contribution à compter du 1er mai 2021. Elle est dès lors recevable au sens de l'art. 317 al. 2 CPC. Elle est par ailleurs en rapport avec l'union conjugale et avec l'obligation d'assistance mutuelle qui en résulte, de sorte que l'appelant peut prétendre à ce qu'elle soit traitée dans le cadre du présent arrêt conformément au principe de l'unité du jugement de divorce.</w:t>
      </w:r>
    </w:p>
    <w:p>
      <w:r>
        <w:t>- 46/49 -</w:t>
      </w:r>
    </w:p>
    <w:p>
      <w:r>
        <w:t>C/24604/2017 10.2.2 Sur le fond, l'intimée ne conteste pas avoir continué de percevoir, entre le 1er mai 2021 et le 31 janvier 2023, une contribution d'entretien mensuelle de 1'275 fr. Elle ne conteste pas davantage que la cause en vertu de laquelle elle a reçu cette contribution a cessé d'exister, dès lors qu'elle n'a pas fait appel du jugement entrepris en tant que celui-ci réduisait ladite contribution à 950 fr. par mois dès le 1er mai 2021 et supprimait celle-ci dès le 1er février 2022. Il s'ensuit que l'appelant est fondé, conformément à l'art. 62 CO, à réclamer la restitution du montant qu'il a versé en trop à l'intimée, lequel s'élève à 20'775 fr. (cf. En fait, let. F). L'appelant erre certes lorsqu'il affirme que la restitution de ce montant s'inscrirait dans le cadre de la liquidation du régime matrimonial. Sa créance étant née postérieurement à la dissolution du régime intervenue le 1er septembre 2015, elle ne peut en effet être prise en considération dans la composition des masses d'acquêts des parties. Cette circonstance n'affecte toutefois pas l'existence de ladite créance, qui subsiste en tant que telle. L'appelant est par conséquent fondé à en réclamer le paiement devant la Cour. Au vu de ce qui précède, l'intimée sera condamnée à verser à l'appelant la somme de 20'775 fr., avec intérêts à 5% à compter de l'entrée en force du présent arrêt (art. 104 al. 1 CO). 11. 11.1 Les frais judiciaires sont fixés et répartis d'office (art. 105 al. 1 CPC). Le tribunal fixe les dépens selon le tarif (art. 96 et 105 CPC). Les frais, qui comprennent les frais judiciaires et les dépens,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11.2 En l'espèce, les parties ne critiquent ni la quotité ni la répartition des frais de première instance, laquelle apparaît au demeurant conforme aux dispositions légales applicables (art. 5, 30 et 35 RTFMC). Le jugement entrepris n'étant modifié que dans une moindre mesure, il n'y a pas lieu de revenir sur ces points dans le cadre du présent arrêt. 11.3 Les frais de la procédure d'appel seront arrêtés à 10'000 fr. (art. 30 al. 2 let. a et 35 RTFMC) et partiellement compensés avec l'avance fournie par l'appelant, laquelle demeure acquise à l'Etat de Genève (art. 111 al. 1 CPC).</w:t>
      </w:r>
    </w:p>
    <w:p>
      <w:r>
        <w:t>- 47/49 -</w:t>
      </w:r>
    </w:p>
    <w:p>
      <w:r>
        <w:t>C/24604/2017 Au vu de l'issue et de la nature familiale du litige, ces frais seront mis à la charge des parties par moitié, soit 5'000 fr. chacune. L'intimée sera par conséquent condamnée à verser 1'000 fr. à l'appelant à titre de remboursement des frais judiciaires d'appel et 4'000 fr. à l'Etat de Genève, soit pour lui les Services financiers du pouvoir judiciaire. Pour les mêmes motifs, chaque partie supportera ses propres dépens d'appel. * * * * *</w:t>
      </w:r>
    </w:p>
    <w:p>
      <w:r>
        <w:t>- 48/49 -</w:t>
      </w:r>
    </w:p>
    <w:p>
      <w:r>
        <w:t>C/24604/2017 PAR CES MOTIFS, La Chambre civile :</w:t>
      </w:r>
    </w:p>
    <w:p>
      <w:r>
        <w:t>A la forme : Déclare recevable l'appel interjeté par A______ le 5 mai 2023 contre le jugement JTPI/3561/2023 rendu le 20 mars 2023 par le Tribunal de première instance dans la cause C/24604/2017-17. Au fond : *Annule le chiffre 12 du dispositif du jugement entrepris. Condamne B______ à verser à A______ la somme de 20'775 fr. avec intérêts à 5% à compter de l'entrée en force du présent arrêt. Confirme le jugement entrepris pour le surplus. Déboute les parties de toutes autres conclusions. Sur les frais d'appel : Arrête les frais judiciaires d'appel à 10'000 fr. et les compense partiellement avec l'avance fournie par A______, laquelle demeure acquise à l'Etat de Genève. Met lesdits frais à la charge des parties par moitié, soit 5'000 fr. chacune. Condamne par conséquent B______ à verser 1'000 fr. à A______ à titre de remboursement des frais judiciaires d'appel et 4'000 fr. à l'Etat de Genève, soit pour lui les Services financiers du Pouvoir judiciaire. Dit que chaque partie supporte ses propres dépens d'appel. Siégeant : Madame Jocelyne DEVILLE-CHAVANNE, présidente; Madame Verena PEDRAZZINI RIZZI, Madame Nathalie LANDRY-BARTHE, juges; Madame Sandra CARRIER, greffière.</w:t>
      </w:r>
    </w:p>
    <w:p>
      <w:r>
        <w:t>*Rectification erreur matérielle le 27 juin 2024 (art. 334 CPC).</w:t>
      </w:r>
    </w:p>
    <w:p>
      <w:r>
        <w:t>- 49/49 -</w:t>
      </w:r>
    </w:p>
    <w:p>
      <w:r>
        <w:t>C/24604/2017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