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ACJC/62/2019 vom 30. Januar 2019</w:t>
      </w:r>
    </w:p>
    <w:p>
      <w:r>
        <w:t>GE Cour de justice, 2019-01-30, FR</w:t>
      </w:r>
    </w:p>
    <w:p>
      <w:r>
        <w:rPr>
          <w:b/>
        </w:rPr>
        <w:t xml:space="preserve">Quelle: </w:t>
      </w:r>
      <w:r>
        <w:t>https://mcp.opencaselaw.ch/entscheid/ge_gerichte_ACJC_62_2019</w:t>
      </w:r>
    </w:p>
    <w:p>
      <w:r>
        <w:t>FR: GE_GERICHTE ACJC/62/2019 du 30 janvier 2019</w:t>
      </w:r>
    </w:p>
    <w:p>
      <w:r>
        <w:t>IT: GE_GERICHTE ACJC/62/2019 del 30 gennaio 2019</w:t>
      </w:r>
    </w:p>
    <w:p>
      <w:pPr>
        <w:pStyle w:val="Heading2"/>
      </w:pPr>
      <w:r>
        <w:t>Erwägungen</w:t>
      </w:r>
    </w:p>
    <w:p>
      <w:r>
        <w:rPr>
          <w:b/>
        </w:rPr>
        <w:t>E. 1.1</w:t>
      </w:r>
    </w:p>
    <w:p>
      <w:r>
        <w:t>Le jugement attaqué constitue une décision finale de première instance (art. 308 al. 1 let. a CPC). La valeur litigieuse étant supérieure à 10'000 fr., la voie de l'appel est ouverte (art. 308 al. 2 CPC).</w:t>
      </w:r>
    </w:p>
    <w:p>
      <w:r>
        <w:rPr>
          <w:b/>
        </w:rPr>
        <w:t>E. 1.2</w:t>
      </w:r>
    </w:p>
    <w:p>
      <w:r>
        <w:t>Déposé dans le délai utile et selon la forme prescrite par la loi (art. 130 al. 1, 131 et 311 al. 1 CPC), l'appel est recevable.</w:t>
      </w:r>
    </w:p>
    <w:p>
      <w:r>
        <w:rPr>
          <w:b/>
        </w:rPr>
        <w:t>E. 1.3</w:t>
      </w:r>
    </w:p>
    <w:p>
      <w:r>
        <w:t>La Cour revoit la cause avec un plein pouvoir d’examen (art. 310 CPC). Ainsi, elle contrôle librement l'appréciation des preuves effectuée par le juge de première instance et vérifie si celui-ci pouvait admettre les faits qu'il a retenus (ATF 138 III 374 consid. 4.3.1; arrêt du Tribunal fédéral 4A_153/2014 du 28 août 2014 consid. 2.2.3).</w:t>
      </w:r>
    </w:p>
    <w:p>
      <w:r>
        <w:t>Elle applique la maxime des débats et le principe de disposition (art. 55 al. 1, 58 al. 1 et 247 al. 1 CPC).</w:t>
      </w:r>
    </w:p>
    <w:p>
      <w:r>
        <w:rPr>
          <w:b/>
        </w:rPr>
        <w:t>E. 2</w:t>
      </w:r>
    </w:p>
    <w:p>
      <w:r>
        <w:t>L’appelante produit une pièce nouvelle devant la Cour et l’intimé se réfère, pour la première fois, à des sites internet à titre de preuve.</w:t>
      </w:r>
    </w:p>
    <w:p>
      <w:r>
        <w:t>2.1.1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2.1.2 Aux termes de l’art. 151 CPC, les faits notoires ou notoirement connus du tribunal et les règles d’expérience généralement reconnues ne doivent pas être prouvés.</w:t>
      </w:r>
    </w:p>
    <w:p>
      <w:r>
        <w:t>Les faits notoires, qu'il n'est pas nécessaire d'alléguer ni de prouver, sont ceux dont l'existence est certaine au point d'emporter la conviction du juge, qu'il s'agisse de faits connus de manière générale du public ou seulement du juge. Pour être notoire, un renseignement ne doit pas être constamment présent à l'esprit; il suffit qu'il puisse être contrôlé par des publications accessibles à chacun (ATF 135 III 88 consid. 4.1; 134 III 224 consid. 5.2), à l'instar par exemple des indications figurant au registre du commerce, accessibles par Internet (ATF 138 II 557 consid. 6.2; 4A_509/2014 du 4 février 2015 consid. 2.1).</w:t>
      </w:r>
    </w:p>
    <w:p>
      <w:r>
        <w:t>En ce qui concerne Internet, seules les informations bénéficiant d'une empreinte officielle (par ex: Office fédéral de la statistique, inscriptions au Registre du commerce, cours de change, horaire de train des CFF etc.) peuvent être</w:t>
      </w:r>
    </w:p>
    <w:p>
      <w:r>
        <w:t>- 9/14 -</w:t>
      </w:r>
    </w:p>
    <w:p>
      <w:r>
        <w:t>C/4243/2016 considérées comme notoires, car facilement accessibles et provenant de sources non controversées (ATF 143 IV 380 consid. 1.2).</w:t>
      </w:r>
    </w:p>
    <w:p>
      <w:r>
        <w:rPr>
          <w:b/>
        </w:rPr>
        <w:t>E. 2.2</w:t>
      </w:r>
    </w:p>
    <w:p>
      <w:r>
        <w:t>En l’occurrence, la pièce nouvelle produite par l’appelante est irrecevable, celle-ci étant antérieure au jour où la cause a été gardée à juger par le Tribunal et l’appelante n’expliquant pas les raisons pour lesquelles elle aurait été dans l'impossibilité de la produire en première instance.</w:t>
      </w:r>
    </w:p>
    <w:p>
      <w:r>
        <w:t>L’intimé allègue, pour la première fois en appel, que l’appelante sollicitait une autorisation de construire dans le cadre d’un projet immobilier, de sorte que sa comptabilité professionnelle ne pouvait pas être en déficit. A cet égard, il renvoie à une décision du Conseil municipal de la Ville de Genève publiée sur le site internet de celui-ci. Contrairement à ce que soutient l’intimé, bien que ce site internet soit officiel au sens de la jurisprudence rappelée supra, le fait allégué n’est pas rendu notoire par une simple référence à celui-ci. Le fait allégué par l’intimé étant nouveau, il ne sera pas pris en compte par la Cour.</w:t>
      </w:r>
    </w:p>
    <w:p>
      <w:r>
        <w:t>Il en va de même de la référence au site internet de l’Union suisse des professionnels de l’immobilier. En effet, cette référence est nouvelle et ce site internet ne bénéficie pas d’une empreinte officielle, de sorte que les informations figurant sur celui-ci ne sont pas notoires et ne peuvent pas être retenues par la Cour.</w:t>
      </w:r>
    </w:p>
    <w:p>
      <w:r>
        <w:rPr>
          <w:b/>
        </w:rPr>
        <w:t>E. 3</w:t>
      </w:r>
    </w:p>
    <w:p>
      <w:r>
        <w:t>L’appelante reproche au premier juge une appréciation manifestement inexacte des faits. Elle lui fait grief de ne pas avoir retenu que l’intimé avait violé son devoir diligence et d’information. Il ne l’avait pas informée du risque que l’AFC considère l’immeuble comme relevant de sa fortune commerciale, dès lors que les revenus locatifs afférents avaient été intégrés dans son compte de pertes et profits dès 2005. L’intimé devait répondre de son dommage correspondant à la perte de l’abattement fiscal en cas de vente de l’immeuble, projet auquel elle avait renoncé, et n’avait droit à aucune rémunération pour son activité déployée jusqu’en 2008.</w:t>
      </w:r>
    </w:p>
    <w:p>
      <w:r>
        <w:t>L’intimé conteste avoir violé son devoir de diligence et allègue avoir agi sur instructions de l’appelante. Il avait informé cette dernière des risques encourus, raison pour laquelle il lui avait expressément demandé de lui remettre le bordereau de taxation 2005 dès réception.</w:t>
      </w:r>
    </w:p>
    <w:p>
      <w:r>
        <w:rPr>
          <w:b/>
        </w:rPr>
        <w:t>E. 3.1</w:t>
      </w:r>
    </w:p>
    <w:p>
      <w:r>
        <w:t>Selon l’art. 394 CO, le mandat est le contrat par lequel le mandataire s'oblige, dans les termes de la convention, à gérer l'affaire dont il s'est chargé ou à rendre les services qu'il a promis (al. 1).</w:t>
      </w:r>
    </w:p>
    <w:p>
      <w:r>
        <w:t>Le mandataire doit exécuter avec soin la mission qui lui est confiée et sauvegarder fidèlement les intérêts légitimes de son cocontractant (art. 321a al. 1 CO applicable par le renvoi de l'art. 398 al. 1 CO). Il est responsable envers le</w:t>
      </w:r>
    </w:p>
    <w:p>
      <w:r>
        <w:t>- 10/14 -</w:t>
      </w:r>
    </w:p>
    <w:p>
      <w:r>
        <w:t>C/4243/2016 mandant de la bonne et fidèle exécution de sa mission (art. 398 al. 2 CO), qui comprend le devoir d'informer et de conseiller le mandant, ainsi que le devoir de respecter les instructions de ce dernier.</w:t>
      </w:r>
    </w:p>
    <w:p>
      <w:r>
        <w:t>L'obligation d'information implique pour le mandataire d'aviser l'autre partie de tout ce qui est important pour cette dernière en relation avec l'exécution du contrat. Afin d'être utile au mandant, l'information doit être complète, exacte et dispensée à temps. Le mandataire doit notamment renseigner le mandant des risques (y compris des risques financiers) et avantages des mesures et des actes envisagés, ou de l'exécution du mandat en général. L'information doit ainsi rendre le mandant à même de dispenser des instructions adéquates (WERRO, Commentaire romand CO I, 2012, n° 17 ad art. 398 CO).</w:t>
      </w:r>
    </w:p>
    <w:p>
      <w:r>
        <w:t>L'étendue du devoir d'information varie en fonction des connaissances et de l'expérience du mandant. La responsabilité du mandataire n'est ainsi pas la même, selon qu'il a à faire ou non à une personne expérimentée (ATF 119 II 333, JdT 1994 I 610, consid. 5a, p. 612).</w:t>
      </w:r>
    </w:p>
    <w:p>
      <w:r>
        <w:t>Les instructions sont des manifestations de volonté sujettes à réception, au moyen desquelles le mandant indique au mandataire, pendant l'exécution ou au moment de la conclusion du contrat, comment les services doivent être rendus. D'après l'art. 397 al. 1 CO, les instructions sont en principe contraignantes; le mandataire ne peut s'en écarter que dans des circonstances précises, soit si la sauvegarde des intérêts du mandant commande sans instructions la prise de mesures urgentes (art. 397 al. 1 in fine CO), si les instructions sont illicites ou contraires aux mœurs ou si elles sont déraisonnables (arrêts du Tribunal fédéral 4A_351/2007 du 15 janvier 2008 consid. 2.3.1 et 4C.295/2006 du 30 novembre 2006 consid. 4.2). Le mandataire qui ne se conforme pas aux instructions reçues viole le contrat et doit réparation au mandant (ATF 107 II 238 consid. 5b; arrêt du Tribunal fédéral précité 4C.295/2006 consid. 4.2).</w:t>
      </w:r>
    </w:p>
    <w:p>
      <w:r>
        <w:t>La responsabilité du mandataire suppose donc la réunion de quatre conditions cumulatives: une violation d'un devoir de diligence, une faute, un dommage et une relation de causalité (naturelle et adéquate) entre la violation fautive du devoir de diligence et le dommage survenu. Il appartient au demandeur d'apporter la preuve des faits permettant de constater que chacune de ces conditions est remplie (art. 8 CC), sauf pour la faute qui est présumée (art. 97 al. 1 CO) (ATF 133 III 121 consid. 3.1; 132 III 379 consid. 3.1).</w:t>
      </w:r>
    </w:p>
    <w:p>
      <w:r>
        <w:t>La preuve que le mandataire a mal exécuté son mandat incombe en effet au mandant, qui veut réclamer des dommages-intérêts (art. 8 CC). Cette règle s'applique également lorsque la preuve porte sur des faits négatifs. Cette exigence est toutefois tempérée par les règles de la bonne foi qui obligent la partie adverse à coopérer à la procédure probatoire, notamment en offrant la preuve du contraire (ATF 106 II 31 consid. 2).</w:t>
      </w:r>
    </w:p>
    <w:p>
      <w:r>
        <w:t>- 11/14 -</w:t>
      </w:r>
    </w:p>
    <w:p>
      <w:r>
        <w:t>C/4243/2016</w:t>
      </w:r>
    </w:p>
    <w:p>
      <w:r>
        <w:rPr>
          <w:b/>
        </w:rPr>
        <w:t>E. 3.2</w:t>
      </w:r>
    </w:p>
    <w:p>
      <w:r>
        <w:t>En l’espèce, l’appelante soutient que l’intimé ne l’a pas informée du risque fiscal résultant de l’indication des revenus locatifs dans son compte de pertes et profits 2005, soit que l’immeuble pouvait être considéré comme relevant de sa fortune commerciale. Elle reproche à l’intimé de ne pas avoir mentionné, par écrit, le risque précité. Il ne lui avait pas fait signer de décharge en ce sens, de sorte qu’elle avait découvert cette conséquence fiscale en 2011 après avoir mandaté H______.</w:t>
      </w:r>
    </w:p>
    <w:p>
      <w:r>
        <w:t>Les explications de l’appelante, qui supporte le fardeau de la preuve, sont insuffisantes pour retenir une violation du devoir de diligence et d’information de la part de l’intimé.</w:t>
      </w:r>
    </w:p>
    <w:p>
      <w:r>
        <w:t>En effet, l’appelante a validé sa déclaration fiscale 2005 en apposant notamment sa signature en dessous de la rubrique « observations », dans laquelle l’intimé avait indiqué, en gras, que les revenus locatifs de l’immeuble étaient intégrés dans le compte de pertes et profits de l’entreprise de l’appelante. Cette dernière a également signé ledit compte, figurant sur une seule page et donc facilement lisible, mentionnant que les revenus locatifs de l’immeuble, ainsi que ceux de l’immeuble sis ______, faisaient partie des avoirs de l’entreprise.</w:t>
      </w:r>
    </w:p>
    <w:p>
      <w:r>
        <w:t>Les comptes de pertes et profits 2006, 2007 et 2008, tous signés par l’appelante, mentionnent également les revenus locatifs des immeubles dans les avoirs de l’entreprise.</w:t>
      </w:r>
    </w:p>
    <w:p>
      <w:r>
        <w:t>L’appelante ne peut ainsi pas soutenir, de manière convaincante, avoir découvert ces éléments uniquement en 2011, ce qui renforce la thèse de l’intimé, soit qu’il a agi sur instruction de l’appelante. Cette instruction n’étant pas déraisonnable, étant donné qu’elle permettait à l’entreprise de ne pas être déficitaire, l’intimé n’avait pas de raison de s’en écarter. Il sied de relever que l’appelante a reconnu qu’au moins un prêt hypothécaire arrivait à échéance fin 2006, soit au moment de l’établissement de sa comptabilité et sa fiscalité 2005.</w:t>
      </w:r>
    </w:p>
    <w:p>
      <w:r>
        <w:t>En outre, l’appelante est au bénéfice d’une formation dans le domaine du courtage immobilier. Elle a également une grande expérience professionnelle dans le domaine immobilier, étant précisé qu’avant la création de son entreprise, elle était l’unique administratrice d’une société immobilière. Il n’est ainsi pas crédible que l’appelante n’ait pas connu le risque découlant de son instruction, soit qu’en indiquant les revenus locatifs de l’immeuble dans ses avoirs professionnels, l’AFC considérerait ledit bien comme relevant de sa fortune commerciale et non plus privée. D’autant plus que la compréhension de ce risque ne nécessite pas de connaissances fiscales approfondies. Par ailleurs, les revenus locatifs de l’immeuble sis ______ étaient déjà compris dans les avoirs professionnels de l’appelante, ce que cette dernière ne conteste pas, de sorte qu’elle en connaissait le traitement par l’administration fiscale, soit l’intégration du bien immobilier dans sa fortune commerciale.</w:t>
      </w:r>
    </w:p>
    <w:p>
      <w:r>
        <w:t>- 12/14 -</w:t>
      </w:r>
    </w:p>
    <w:p>
      <w:r>
        <w:t>C/4243/2016</w:t>
      </w:r>
    </w:p>
    <w:p>
      <w:r>
        <w:t>Dans ces circonstances, l’appelante ne peut pas tirer argument du fait que l’intimé ne lui a pas fait signer une décharge indiquant expressément le risque encouru.</w:t>
      </w:r>
    </w:p>
    <w:p>
      <w:r>
        <w:t>L’appelante soutient également que l’intimé aurait dû contacter l’administration fiscale, en se prévalant de la procuration du 19 mai 2006, pour indiquer expressément qu’elle ne souhaitait pas que l’immeuble soit affecté à sa fortune commerciale. Cela étant, cette procuration, établie par l’appelante, n’est pas signée par les parties, de sorte qu’elle n’a pas de valeur probante. Enfin, l’appelante n’a pas remis à l’intimé sa taxation fiscale 2005 à réception, mais lui a transmis celle-ci en fin d’année 2007, pour l’établissement de sa comptabilité et fiscalité 2006, de sorte que le délai de réclamation était échu.</w:t>
      </w:r>
    </w:p>
    <w:p>
      <w:r>
        <w:t>Ainsi, le premier juge a retenu, à bon droit, que l’intimé avait agi sur instruction de l’appelante et qu’aucune violation du devoir de diligence et d’information ne lui était imputable. Il n’est donc pas nécessaire d’analyser les autres conditions de la responsabilité du mandataire.</w:t>
      </w:r>
    </w:p>
    <w:p>
      <w:r>
        <w:t>La seule critique que l’appelante formule à l’encontre de sa condamnation à payer les factures de l’intimé concerne l’absence d’information au sujet des risques d’interprétation divergente de l’AFC, qui aurait rendu le travail de l’intimé totalement inutilisable. Vu la solution à laquelle est parvenue la Cour, ce grief est infondé.</w:t>
      </w:r>
    </w:p>
    <w:p>
      <w:r>
        <w:t>Partant, le jugement entrepris sera confirmé, sous réserve de la qualité de la partie intimée qui sera rectifiée en ce sens qu’il s’agit de B______ en personne. Le dispositif du jugement entrepris sera ainsi reformulé par souci de clarté.</w:t>
      </w:r>
    </w:p>
    <w:p>
      <w:r>
        <w:rPr>
          <w:b/>
        </w:rPr>
        <w:t>E. 4</w:t>
      </w:r>
    </w:p>
    <w:p>
      <w:r>
        <w:t>Les frais judiciaires d’appel seront fixés à 10'000 fr. (art. 17 et 35 RTFMC). Ils seront mis à la charge de l'appelante, qui succombe (art. 95 et 106 al. 1 CPC) et compensé avec l’avance de frais de 16'000 fr. versée par elle, qui reste acquise à l’Etat à due concurrence (art. 111 al. 1 CPC). Le solde de 6'000 fr. lui sera restitué.</w:t>
      </w:r>
    </w:p>
    <w:p>
      <w:r>
        <w:t>L’appelante sera en outre condamnée à verser à l’intimé la somme de 5'000 fr., débours et TVA compris, à titre de dépens d’appel (art. 95 al. 3 CPC; art. 85 et 90 RTFMC). * * * * *</w:t>
      </w:r>
    </w:p>
    <w:p>
      <w:r>
        <w:t>- 13/14 -</w:t>
      </w:r>
    </w:p>
    <w:p>
      <w:r>
        <w:t>C/4243/2016 PAR CES MOTIFS, La Chambre civile : A la forme : Déclare recevable l'appel interjeté le 30 mai 2018 par A______ contre le jugement JTPI/6340/2018 rendu le 25 avril 2018 par le Tribunal de première instance dans la cause C/4243/2016-21. Au fond : Modifie les chiffres 2, 3 et 4 du dispositif du jugement querellé dans le sens suivant : Condamne A______ à payer à B______ les sommes de 2'291 fr., 4'599 fr. et 4'055 fr., avec intérêts à 5% dès le 19 juin 2012. Arrête les frais de la demande principale et de la demande reconventionnelle à 17'450 fr., en les mettant à charge de A______ et en les compensant avec les avances versées par les parties, condamne en conséquence A______ à payer à B______ la somme de 2'000 fr. et ordonne la restitution à A______ du solde de ses avances. Condamne A______ à verser à B______ 15'000 fr. TTC à titre de dépens. Confirme le jugement entrepris pour le surplus. Déboute les parties de toutes autres conclusions Sur les frais : Arrête les frais judiciaires d’appel à 10'000 fr., les met à la charge de A______ et les compense avec l’avance de frais fournie, qui reste acquise à l’État de Genève à due concurrence. Invite les Services financiers du Pouvoir judiciaire à restituer à A______ le solde de son avance de frais en 6'000 fr. Condamne A______ à verser à B______ 5'000 fr. à titre de dépens d’appel. Siégeant : Monsieur Ivo BUETTI, président; Madame Sylvie DROIN, Madame Nathalie RAPP, juges; Madame Jessica ATHMOUNI, greffière.</w:t>
      </w:r>
    </w:p>
    <w:p>
      <w:r>
        <w:t>Le président : Ivo BUETTI</w:t>
      </w:r>
    </w:p>
    <w:p>
      <w:r>
        <w:t>La greffière : Jessica ATHMOUNI</w:t>
      </w:r>
    </w:p>
    <w:p>
      <w:r>
        <w:t>- 14/14 -</w:t>
      </w:r>
    </w:p>
    <w:p>
      <w:r>
        <w:t>C/4243/2016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