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ACJC/629/2019 vom 29. April 2019</w:t>
      </w:r>
    </w:p>
    <w:p>
      <w:r>
        <w:t>GE Cour de justice, 2019-04-29, FR</w:t>
      </w:r>
    </w:p>
    <w:p>
      <w:r>
        <w:rPr>
          <w:b/>
        </w:rPr>
        <w:t xml:space="preserve">Quelle: </w:t>
      </w:r>
      <w:r>
        <w:t>https://mcp.opencaselaw.ch/entscheid/ge_gerichte_ACJC_629_2019</w:t>
      </w:r>
    </w:p>
    <w:p>
      <w:r>
        <w:t>FR: GE_GERICHTE ACJC/629/2019 du 29 avril 2019</w:t>
      </w:r>
    </w:p>
    <w:p>
      <w:r>
        <w:t>IT: GE_GERICHTE ACJC/629/2019 del 29 aprile 2019</w:t>
      </w:r>
    </w:p>
    <w:p>
      <w:pPr>
        <w:pStyle w:val="Heading2"/>
      </w:pPr>
      <w:r>
        <w:t>Erwägungen</w:t>
      </w:r>
    </w:p>
    <w:p>
      <w:r>
        <w:rPr>
          <w:b/>
        </w:rPr>
        <w:t>E. 1.1</w:t>
      </w:r>
    </w:p>
    <w:p>
      <w:r>
        <w:t>Interjeté dans les délai et forme utiles, à l'encontre d'une décision rendue sur mesures provisionnelles qui statue sur des prétentions tendant à la protection de la personnalité, droits de nature non pécuniaire, l'appel est recevable (art. 308 al. 1 let. b CPC; arrêt du Tribunal fédéral 5A_641/2011 du 23 février 2012 consid. 1.1).</w:t>
      </w:r>
    </w:p>
    <w:p>
      <w:r>
        <w:rPr>
          <w:b/>
        </w:rPr>
        <w:t>E. 1.2</w:t>
      </w:r>
    </w:p>
    <w:p>
      <w:r>
        <w:t>Dans sa réponse à l'appel, l'intimée a conclu à ce que les appelants soient condamnés à lui verser 1'000 fr. au titre de tort-moral.</w:t>
      </w:r>
    </w:p>
    <w:p>
      <w:r>
        <w:t>- 4/8 -</w:t>
      </w:r>
    </w:p>
    <w:p>
      <w:r>
        <w:t>C/12855/2018</w:t>
      </w:r>
    </w:p>
    <w:p>
      <w:r>
        <w:t>Cette conclusion, qui est nouvelle, est irrecevable tant au regard de l'art. 314 al. 2 CPC, qui prévoit que l'appel joint est irrecevable en procédure sommaire, qu'en application de l'art. 317 al. 2 CPC car elle ne repose pas sur des faits ou des moyens de preuve nouveaux.</w:t>
      </w:r>
    </w:p>
    <w:p>
      <w:r>
        <w:rPr>
          <w:b/>
        </w:rPr>
        <w:t>E. 1.3</w:t>
      </w:r>
    </w:p>
    <w:p>
      <w:r>
        <w:t>L'instance d'appel revoit la cause en fait et en droit avec un plein pouvoir d'examen (art. 310 CPC). Les mesures provisionnelles étant soumises à la procédure sommaire (art. 248 lit. d CPC), avec administration restreinte des moyens de preuve, la cognition du juge est toutefois limitée à la simple vraisemblance des faits et à un examen sommaire du droit (ATF 131 III 473 consid. 2.3; ATF 127 III 474 consid. 2b/bb; arrêt du Tribunal fédéral 5A_442/2013 du 24 juillet 2013 consid. 2.1 et 5.1).</w:t>
      </w:r>
    </w:p>
    <w:p>
      <w:r>
        <w:rPr>
          <w:b/>
        </w:rPr>
        <w:t>E. 1.4</w:t>
      </w:r>
    </w:p>
    <w:p>
      <w:r>
        <w:t>A______ et B______ seront désignés ci-après comme les appelants et C______ comme l'intimée.</w:t>
      </w:r>
    </w:p>
    <w:p>
      <w:r>
        <w:rPr>
          <w:b/>
        </w:rPr>
        <w:t>E. 2</w:t>
      </w:r>
    </w:p>
    <w:p>
      <w:r>
        <w:t>Les parties ont produit plusieurs pièces nouvelles.</w:t>
      </w:r>
    </w:p>
    <w:p>
      <w:r>
        <w:rPr>
          <w:b/>
        </w:rPr>
        <w:t>E. 2.1</w:t>
      </w:r>
    </w:p>
    <w:p>
      <w:r>
        <w:t>Les faits et les moyens de preuve nouveaux sont admissibles en appel aux conditions de l'art. 317 CPC. La Cour examine, en principe, d'office la recevabilité des faits et les moyens de preuve nouveaux en appel (REETZ/HILBER, Kommentar zur Schweizerischen Zivilprozessordnung [ZPO], 2016,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n. 6 ad art. 317 CPC).</w:t>
      </w:r>
    </w:p>
    <w:p>
      <w:r>
        <w:rPr>
          <w:b/>
        </w:rPr>
        <w:t>E. 2.2</w:t>
      </w:r>
    </w:p>
    <w:p>
      <w:r>
        <w:t>En l'espèce, les pièces 3, 5 à 9, 11, 12, 15, 19 et 21 des appelants sont antérieures au 30 juillet 2018, date à laquelle la cause a été gardée à juger par le Tribunal et auraient pu être produites en première instance. Elles sont par conséquent irrecevables. La pièce 18 des appelants, datée du 14 janvier 2019 est quant à elle recevable. La question de la recevabilité des pièces nouvelles produites par l'intimée peut rester ouverte, ces pièces n'étant pas pertinentes pour l'issue du litige.</w:t>
      </w:r>
    </w:p>
    <w:p>
      <w:r>
        <w:rPr>
          <w:b/>
        </w:rPr>
        <w:t>E. 3</w:t>
      </w:r>
    </w:p>
    <w:p>
      <w:r>
        <w:t>Le Tribunal a considéré que l'octroi de mesures provisionnelles ne se justifiait pas in casu car les publications sur le groupe D______ concerné ne visaient qu'un nombre restreint de sympathisants du mouvement politique en question qui pouvaient comprendre que l'adjectif "malveillant" s'inscrivait dans le cadre d'une</w:t>
      </w:r>
    </w:p>
    <w:p>
      <w:r>
        <w:t>- 5/8 -</w:t>
      </w:r>
    </w:p>
    <w:p>
      <w:r>
        <w:t>C/12855/2018 lutte intestine entre les membres de ce mouvement, de sorte que, vu le contexte, les termes incriminés ne constituaient pas une atteinte à la personnalité des appelants.</w:t>
      </w:r>
    </w:p>
    <w:p>
      <w:r>
        <w:t>Les appelants font valoir que, s'agissant de A______ qui est enseignante, le terme "malveillant" est "propre à amoindrir, voir briser le lien de confiance" avec ses élèves et leurs parents. Ce terme nuisait également à la "mission d'assistance d'autrui" de B______ qui était actif au sein de plusieurs associations, notamment "E______, B______, C______, D______, I______".</w:t>
      </w:r>
    </w:p>
    <w:p>
      <w:r>
        <w:rPr>
          <w:b/>
        </w:rPr>
        <w:t>E. 3.1</w:t>
      </w:r>
    </w:p>
    <w:p>
      <w:r>
        <w:t>Selon l'art. 261 CPC, le tribunal ordonne les mesures provisionnelles nécessaires lorsque le requérant rend vraisemblable, d'une part, qu'une prétention dont il est titulaire est l'objet d'une atteinte ou risque de l'être (al. 1 let. a) et, d'autre part, que cette atteinte risque de lui causer un préjudice difficilement réparable (al. 1 let. b).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BOHNET, Commentaire romand, n. 3 ss ad art. 261 CPC).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 JdT 2005 I 618). Le juge peut se contenter d'un examen sommaire du droit (arrêt du Tribunal fédéral 5P.362/2002 du 17 décembre 2002, consid. 2. 4). Selon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Il y a notamment atteinte à la personnalité lorsqu'une personne est touchée dans son honneur, à savoir dans la considération morale ou sociale dont elle jouit (arrêt du Tribunal fédéral 5P.362/2002 du 17 décembre 2002, consid. 2.2). Savoir quand il y a atteinte à l'honneur s'appréciera en fonction de la position sociale de la personne à protéger et de la perception par le milieu dans lequel elle évolue de ce que revêt la considération morale ou sociale. On ne saurait faire dépendre ces critères de l'idée subjective que pourrait en avoir la victime; bien au</w:t>
      </w:r>
    </w:p>
    <w:p>
      <w:r>
        <w:t>- 6/8 -</w:t>
      </w:r>
    </w:p>
    <w:p>
      <w:r>
        <w:t>C/12855/2018 contraire, on se réfèrera à une échelle de valeurs standardisée en usant de critères généraux tels que les perçoit le citoyen moyen. A la lumière de ces principes, le personnage politique sera confronté à un seuil de tolérance plus élevé (induit par la tradition du débat démocratique) que ne l'est le citoyen "lambda". Ce qui est déterminant est l'impression qu'en tire le citoyen moyen, lequel est amené à en déduire que la personne visée manque de l'une ou l'autre des qualités qui constituent l'honneur (JEANDIN, Commentaire romand, n. 38 ad art. 28 CC).</w:t>
      </w:r>
    </w:p>
    <w:p>
      <w:r>
        <w:rPr>
          <w:b/>
        </w:rPr>
        <w:t>E. 3.2</w:t>
      </w:r>
    </w:p>
    <w:p>
      <w:r>
        <w:t>En l'espèce, comme l'a relevé à juste titre le Tribunal, il résulte de la simple lecture de la page D______ incriminée que le terme "malveillant à l'égard du groupe" utilisé par l'intimée s'inscrit dans un contexte particulier de mésentente entre l'intimée et les appelants, dans le cadre de leur campagne politique. L'échange de vues qui suit le message initial confirme l'impression que le terme utilisé ne reflète que l'opinion subjective d'une adversaire politique des appelants, ce qui en affaiblit considérablement la portée. Les appelants allèguent pour la première fois en appel qu'ils "n'étaient pas à proprement parler des politiciens mais des militants au sein de la liste", leur rôle au sein du groupement étant d'après eux plus "stratégique et organisationnel" que public. Ces allégations sont irrecevables, car nouvelles. Elles ne sont en outre attestées par aucune pièce et sont au demeurant dénuées de pertinence. En effet, en se portant candidats à une élection cantonale, les appelants sont devenus parties prenantes du débat politique. Un commentaire du type de celui litigieux, émanant d'une adversaire politique dans le cadre d'une campagne d'élection, reste dans le cadre de ce qui est admissible, étant souligné que, dans le domaine du débat d'idées, le seuil de tolérance est plus élevé que ce qu'il n'est dans les circonstances sociales ordinaires. Il convient de relever à cet égard que l'intimée n'a pas accusé les appelants d'être malveillants en général, mais uniquement à l'égard du groupe politique "J______", ce qui atteste bien du fait que ces déclarations doivent être remises dans le contexte du débat politique en relation avec une élection. La portée du commentaire de l'intimée est encore affaiblie au regard du fait que le groupe D______ "J______" n'est consulté que par un cercle restreint de personnes sympathisantes de ce mouvement, ce qui est attesté par le fait qu'en janvier 2019 seules 11 personnes avaient pris connaissance du commentaire de l'intimée. Ainsi, à supposer que des élèves ou des parents d'élèves de A______, aient connaissance de cette page D______, ce qui est peu probable, il n'est pas</w:t>
      </w:r>
    </w:p>
    <w:p>
      <w:r>
        <w:t>- 7/8 -</w:t>
      </w:r>
    </w:p>
    <w:p>
      <w:r>
        <w:t>C/12855/2018 vraisemblable que sa lecture aura pour conséquence de porter atteinte à la considération qu'ils ont pour l'intéressée. Il en va de même en ce qui concerne B______, ce d'autant plus que les associations dont il allègue être membre sont en grande partie des associations active dans le débat politique, domaine dans lequel, comme cela a déjà été relevé, le seuil de tolérance pour retenir une atteinte à la personnalité est plus élevé. L'appelant ne fournit d'ailleurs aucune pièce probante relative au cercle des personnes auxquelles il allègue porter assistance. En tout état de cause, rien ne permet de retenir que la lecture du message litigieux provoquerait chez celles-ci une méfiance particulière à l'égard de l'appelant, laquelle nuirait à sa "mission d'assistance". Les appelants n'allèguent pas que des termes de la page D______ litigieuse autres que le mot "malveillant" seraient attentatoires à leur honneur. Il résulte de ce qui précède que l'appel est infondé. Le jugement querellé sera par conséquent confirmé.</w:t>
      </w:r>
    </w:p>
    <w:p>
      <w:r>
        <w:rPr>
          <w:b/>
        </w:rPr>
        <w:t>E. 4</w:t>
      </w:r>
    </w:p>
    <w:p>
      <w:r>
        <w:t>Les frais d'appel et d'appel joint seront laissés à charge de leurs auteurs respectifs qui succombent (art. 106 al. 1 CPC). Les frais judiciaires de l'appel seront arrêtés à 960 fr. et compensés avec les avances versées, acquises à l'Etat de Genève (art. 111 al. 1 CPC). Les frais judiciaires de l'appel joint seront quant à eux fixés à 300 fr. (art. 31 et 35 RTFMC). Les frais d'appel joint seront provisoirement laissés à la charge de l'Etat de Genève, dès lors que l'intimée plaide au bénéfice de l'assistance judiciaire (art. 122 al. 1 let. b CPC). Vu l'issue du litige, et au regard du fait que, toutes les parties plaident en personne, il ne sera pas alloué de dépens (art. 106 al. 2 CPC). * * * * *</w:t>
      </w:r>
    </w:p>
    <w:p>
      <w:r>
        <w:t>- 8/8 -</w:t>
      </w:r>
    </w:p>
    <w:p>
      <w:r>
        <w:t>C/12855/2018 PAR CES MOTIFS, La Chambre civile : A la forme : Déclare recevable l'appel interjeté par A______ et B______ contre l'ordonnance OTPI/803/2018 rendue le 21 décembre 2018 par le Tribunal de première instance dans la cause C/12855/2018-9 SP. Déclare irrecevable l'appel joint interjeté par C______ contre la décision précitée. Au fond : Confirme l'ordonnance querellée. Déboute les parties de toutes autres conclusions. Sur les frais : Arrête les frais judiciaires de l'appel à 960 fr., les compense avec l'avance effectuée, acquise à l'Etat de Genève, et les met solidairement à charge de A______ et B______. Arrête les frais judiciaires de l'appel joint à 300 fr., les met à la charge de C______ et dit qu'ils sont provisoirement supportés par l'Etat de Genève. Dit qu'il n'est pas alloué de dépens. Siégeant : Monsieur Laurent RIEBEN, président; Madame Fabienne GEISINGER-MARIETHOZ et Monsieur Ivo BUETTI, juges; Madame Mélanie DE RESENDE PEREIRA, greffière.</w:t>
      </w:r>
    </w:p>
    <w:p>
      <w:r>
        <w:t>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Cause de nature non pécuniaire.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