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ACJC/626/2024 vom 22. Mai 2024</w:t>
      </w:r>
    </w:p>
    <w:p>
      <w:r>
        <w:t>GE Cour de justice, 2024-05-22, FR</w:t>
      </w:r>
    </w:p>
    <w:p>
      <w:r>
        <w:rPr>
          <w:b/>
        </w:rPr>
        <w:t xml:space="preserve">Quelle: </w:t>
      </w:r>
      <w:r>
        <w:t>https://mcp.opencaselaw.ch/entscheid/ge_gerichte_ACJC_626_2024</w:t>
      </w:r>
    </w:p>
    <w:p>
      <w:r>
        <w:t>FR: GE_GERICHTE ACJC/626/2024 du 22 mai 2024</w:t>
      </w:r>
    </w:p>
    <w:p>
      <w:r>
        <w:t>IT: GE_GERICHTE ACJC/626/2024 del 22 maggio 2024</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la valeur litigieuse s'élève à 56’510 fr., soit la somme à laquelle ont conclu en dernier lieu les locataires devant le Tribunal. Elle est donc supérieure à 10'000 fr. La voie de l'appel est ainsi ouverte.</w:t>
      </w:r>
    </w:p>
    <w:p>
      <w:r>
        <w:t>- 10/15 -</w:t>
      </w:r>
    </w:p>
    <w:p>
      <w:r>
        <w:t>C/2115/2020</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Les appelants ont produit à l'appui de leur appel, comme pièce nouvelle, le jugement JTBL/835/2021 rendu par le Tribunal le 5 octobre 2021.</w:t>
      </w:r>
    </w:p>
    <w:p>
      <w:r>
        <w:rPr>
          <w:b/>
        </w:rPr>
        <w:t>E. 2.2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Les faits notoires sont ceux dont l'existence est certaine au point d'emporter la conviction du juge, qu'il s'agisse de faits connus de manière générale du public ou seulement du juge, et qui ne doivent pas être prouvés (art. 151 CPC).</w:t>
      </w:r>
    </w:p>
    <w:p>
      <w:r>
        <w:rPr>
          <w:b/>
        </w:rPr>
        <w:t>E. 2.3</w:t>
      </w:r>
    </w:p>
    <w:p>
      <w:r>
        <w:t>En l'espèce, le jugement JTBL/835/2021 concernant d'autres parties n'est pas notoire, de sorte qu'il aurait dû être produit devant le Tribunal. En outre, les appelants ne soutiennent pas qu'ils n'auraient pas été en mesure de le produire auparavant. Ce jugement est donc irrecevable, ainsi que les faits qu'il contient.</w:t>
      </w:r>
    </w:p>
    <w:p>
      <w:r>
        <w:rPr>
          <w:b/>
        </w:rPr>
        <w:t>E. 3</w:t>
      </w:r>
    </w:p>
    <w:p>
      <w:r>
        <w:t>Les appelants font griefs au Tribunal d'avoir constaté les faits de manière inexacte et d'avoir violé les art. 9 Cst, 256, 259a et 259d CO.</w:t>
      </w:r>
    </w:p>
    <w:p>
      <w:r>
        <w:rPr>
          <w:b/>
        </w:rPr>
        <w:t>E. 3.1</w:t>
      </w:r>
    </w:p>
    <w:p>
      <w:r>
        <w:t>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Le bailleur répond en principe des défauts qui lui sont imputables même en cas de méconnaissance ou de comportement irréprochable, puisqu'il assume une</w:t>
      </w:r>
    </w:p>
    <w:p>
      <w:r>
        <w:t>- 11/15 -</w:t>
      </w:r>
    </w:p>
    <w:p>
      <w:r>
        <w:t>C/2115/2020 obligation de garantie (BOHNET/MONTINI, Droit du bail à loyer, 2011, ad art. 256 CO n. 1). De manière générale, les parties peuvent convenir, pour autant qu'elles le fassent expressément, d'un usage inférieur à la norme. Dans un tel cas, la chose ne disposera pas, au moment de sa remise, de toutes les propriétés requises pour un usage "normal". Mais alors le loyer doit tenir compte de cet élément (BOHNET/MONTINI, op. cit., n. 19, ad art. 256 CO). Un usage de la chose inférieur à la norme doit trouver son reflet, de manière reconnaissable et proportionnelle, dans la fixation du loyer ou dans le calcul d'une indemnité à charge du bailleur (THEVENOZ/WERRO, Commentaire romand du Code des obligations I, ad art. 256, §10).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p. 195; jugement du Tribunal des baux du canton de Vaud du 23 janvier 2003, Cahier du bail 2004, p. 58). La doctrine n'est pas unanime quant aux conséquences à donner à la connaissance du défaut par le locataire lors de la conclusion du bail. 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(BOHNET/MONTINI, op. cit.,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(BOHNET/MONTINI, op. cit., n. 32 ad art. 256 CO, n. 41 et ad art. 259d CO). Dans une telle hypothèse, afin qu'une telle convention soit valable, le locataire doit être conscient de l'étendue des travaux, des désagréments, ainsi que de la moins-value qui s'en suit (qui correspond à la prétention en réduction de loyer); la renonciation est alors concrète et non abstraite; elle ne concerne toutefois pas ce qui dépasserait l'ampleur des travaux prévus (arrêt du Tribunal fédéral 4A_269/2009 du 19 août 2009, consid. 2.1).</w:t>
      </w:r>
    </w:p>
    <w:p>
      <w:r>
        <w:rPr>
          <w:b/>
        </w:rPr>
        <w:t>E. 3.2</w:t>
      </w:r>
    </w:p>
    <w:p>
      <w:r>
        <w:t>et 3.3).</w:t>
      </w:r>
    </w:p>
    <w:p>
      <w:r>
        <w:rPr>
          <w:b/>
        </w:rPr>
        <w:t>E. 3.3</w:t>
      </w:r>
    </w:p>
    <w:p>
      <w:r>
        <w:t>La réduction du loyer se calcule sur le loyer net, sans les frais accessoires (LACHAT, Le bail à loyer, Lausanne 2019,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 FAVRE, Le droit suisse du bail à loyer, 2011, p. 244; arrêt du Tribunal fédéral 4C_219/2005 du 24 octobre 2005 consid. 2.3 et 2.4). A cet égard, le juge doit apprécier objectivement la mesure dans laquelle l'usage convenu se trouve limité, en tenant compte des particularités de chaque espèce, au nombre desquelles la destination des locaux prévus dans le contrat joue un rôle important (arrêt du Tribunal fédéral 4A_582/2012 du 28 juin 2013 consid.</w:t>
      </w:r>
    </w:p>
    <w:p>
      <w:r>
        <w:rPr>
          <w:b/>
        </w:rPr>
        <w:t>E. 3.4</w:t>
      </w:r>
    </w:p>
    <w:p>
      <w:r>
        <w:t>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ce type de travaux, ce qui représentait une moyenne entre les périodes objectivement les plus pénibles et celles plus calmes (ACJC/550/2015 du 11 mai 2015 consid. 4.1 ; ACJC/202/2013 du 18 février 2013 consid. 6.1). En matière de baux d'habitation, la Cour a confirmé une diminution de loyer à hauteur de 20%, pris en tant que taux moyen, pendant une année et demie à l'occasion d'importants travaux entrepris sur des voies et ses quais situés à 30 mètres du logement de la locataire et effectués momentanément 24 heures sur</w:t>
      </w:r>
    </w:p>
    <w:p>
      <w:r>
        <w:t>- 13/15 -</w:t>
      </w:r>
    </w:p>
    <w:p>
      <w:r>
        <w:t>C/2115/2020 24 ou le week-end. S'y étaient ajouté le chantier du CEVA et la construction d'une nouvelle ligne de tramway également à proximité de l'immeuble. La Cour a notamment retenu que le bruit généré par les chantiers était sensiblement plus gênant que celui de la circulation routière et ferroviaire auquel l'appartement était exposé. Durant la période concernée, le repos des habitants du quartier avait été particulièrement affecté par des travaux effectués pendant la nuit ou le week- end (ACJC/578/2009 du 11 mai 2009 consid. 4.2). Dans un arrêt du 2 avril 2007 (ACJC/377/2007), la Cour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 Dans un arrêt du 3 octobre 2022 (ACJC/1277/2022) relatif au chantier du CEVA, la Cour a considéré que ne violait pas le droit la fixation de la réduction de loyer faite par le Tribunal fixée en équité à 15%, face à l'impossibilité de déterminer précisément l'ampleur de chaque nuisance et la temporalité de celles- ci et en particulier s'agissant de locaux dans lesquels était exercée une activité professionnelle. Enfin, dans quatre arrêts rendus le ______ décembre 2023 (ACJC/1______/2023, ACJC/2______/2023, ACJC/3______/2023, ACJC/4______/2023), la Cour a confirmé une réduction de 15% accordée par le Tribunal pour des nuisances subies dans le cadre des travaux de la VILLE DE GENEVE réalisés à la suite du CEVA entre le 17 décembre 2018 et le mois de décembre 2019, lesquels ont créé des nuisances dépassant ce qui est tolérable en milieu urbain.</w:t>
      </w:r>
    </w:p>
    <w:p>
      <w:r>
        <w:rPr>
          <w:b/>
        </w:rPr>
        <w:t>E. 3.5</w:t>
      </w:r>
    </w:p>
    <w:p>
      <w:r>
        <w:t>En l'espèce, le Tribunal a accordé à juste titre une réduction de 15% du 17 septembre 2018 au 10 novembre 2019. Cette réduction correspond aux travaux d'aménagement extérieur de la gare réalisés par la VILLE DE GENEVE, dont les premiers juges ont considéré qu’il avait été prouvé qu’ils avaient provoqué des nuisances au-delà de ce qui était tolérable en milieu urbain. Les premiers juges ont retenu à raison que ces travaux ont généré beaucoup de bruit entre 07h00/07h30 et 17h00 à raison de plusieurs heures par jour. De nombreux engins de chantier ont été utilisés et des tranchées de trois ou quatre mètres de profondeur creusées en vue des travaux de canalisations, générant des nuisances, notamment sonores.</w:t>
      </w:r>
    </w:p>
    <w:p>
      <w:r>
        <w:t>- 14/15 -</w:t>
      </w:r>
    </w:p>
    <w:p>
      <w:r>
        <w:t>C/2115/2020 Les témoins habitant l'immeuble ont déclaré que ces travaux avaient généré de la poussière, les forçant à fermer les fenêtres en permanence, les empêchant de jouir de leur balcon en semaine. Ils avaient également ressenti de fortes vibrations et tremblements et subi plusieurs coupures d'eau pendant le chantier. Certains travaux ont eu lieu à proximité immédiate de l'immeuble, créant une impression d'enfermement, avec la présence de machines, barrières de chantier et mouvements de camions, étant précisé que le salon et deux chambres de l’appartement des intimés étaient du côté du chantier. Enfin, l'accès à l'immeuble se faisait par des planches provisoires et étroites. Cela étant, les nuisances n'ont pas été constantes, les travaux n'ayant pas toujours lieu au même endroit et pas toujours à proximité immédiate de l'immeuble. Les machines causant des vibrations n'ont pas été utilisées tous les jours et uniquement quelques heures dans la journée. Elles étaient conçues spécialement pour fonctionner en milieu urbain. Les nuisances ont été atténuées dans la mesure du possible, en arrosant par exemple la terre. Enfin, les travaux n'ont pas eu lieu la nuit et durant quelques samedis mais pas de manière constante les week-ends. Quant à la date du 10 novembre 2019 retenue pour la fin de la période de réduction de loyer, elle correspond au jour où la pose du revêtement phonoabsorbant entre l’avenue de Champel et l’avenue de Miremont a été terminée. Les intimés ont déclaré en audience du Tribunal que les nuisances avaient été par la suite acceptables, de sorte que cette date a été retenue à juste titre par les premiers juges. Contrairement aux allégations des appelants, les premiers juges n'ont pas constaté inexactement les faits, ni violé les dispositions légales sur les défauts de la chose louée.</w:t>
      </w:r>
    </w:p>
    <w:p>
      <w:r>
        <w:rPr>
          <w:b/>
        </w:rPr>
        <w:t>E. 3.6</w:t>
      </w:r>
    </w:p>
    <w:p>
      <w:r>
        <w:t>Le jugement entrepris sera ainsi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C/2115/2020 PAR CES MOTIFS, La Chambre des baux et loyers :</w:t>
      </w:r>
    </w:p>
    <w:p>
      <w:r>
        <w:t>A la forme : Déclare recevable l'appel interjeté le 4 octobre 2023 par A______ et B______ contre le jugement JTBL/700/2023 rendu le 29 août 2023 par le Tribunal des baux et loyers dans la cause C/2115/2020. Au fond : Confirme ce jugement. Dit que la procédure est gratuite. Déboute les parties de toutes autres conclusions. Siégeant : Madame Nathalie LANDRY-BARTHE, présidente; Madame Sylvie DROIN et Monsieur Laurent RIEBEN, juges; Madame Zoé SEILER et Monsieur Jean-Philippe FERRERO, juges assesseurs; Madame Maïté VALENTE, greffière.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