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ACJC/626/2023 vom 24. Mai 2023</w:t>
      </w:r>
    </w:p>
    <w:p>
      <w:r>
        <w:t>GE Cour de justice, 2023-05-24, FR</w:t>
      </w:r>
    </w:p>
    <w:p>
      <w:r>
        <w:rPr>
          <w:b/>
        </w:rPr>
        <w:t xml:space="preserve">Quelle: </w:t>
      </w:r>
      <w:r>
        <w:t>https://mcp.opencaselaw.ch/entscheid/ge_gerichte_ACJC_626_2023</w:t>
      </w:r>
    </w:p>
    <w:p>
      <w:r>
        <w:t>FR: GE_GERICHTE ACJC/626/2023 du 24 mai 2023</w:t>
      </w:r>
    </w:p>
    <w:p>
      <w:r>
        <w:t>IT: GE_GERICHTE ACJC/626/2023 del 24 maggio 2023</w:t>
      </w:r>
    </w:p>
    <w:p>
      <w:pPr>
        <w:pStyle w:val="Heading2"/>
      </w:pPr>
      <w:r>
        <w:t>Erwägungen</w:t>
      </w:r>
    </w:p>
    <w:p>
      <w:r>
        <w:rPr>
          <w:b/>
        </w:rPr>
        <w:t>E. 1.1</w:t>
      </w:r>
    </w:p>
    <w:p>
      <w:r>
        <w:t>L'appel est recevable contre les décisions finales de première instance (art. 308 al. 1 let. a CPCP), dans les causes non patrimoniales ou dont la valeur litigieuse, au dernier état des conclusions de première instance, est de 10'000 fr. au moins (art. 308 al. 2 CPC).</w:t>
      </w:r>
    </w:p>
    <w:p>
      <w:r>
        <w:t>En l'espèce, le jugement attaqué est un jugement statuant sur le divorce des parties, soit une décision finale de première instance. La cause portait, notamment, en première instance, sur les droits parentaux, de sorte que l'ensemble du litige est de nature non pécuniaire (arrêts du Tribunal fédéral 5A_765/2012 du 19 février 2013 consid. 1.1; 5A_697/2009 du 4 mars 2010 consid. 1.1; 5A_495/2008 du 30 octobre 2088 consid. 1.1). Quoiqu'il en soit et compte tenu des contribution d'entretien contestées devant la Cour, la valeur litigieuse de 10'000 fr. est atteinte (art. 92 al. 2 CPC), de sorte que la voie de l'appel est ouverte.</w:t>
      </w:r>
    </w:p>
    <w:p>
      <w:r>
        <w:t>L'appel interjeté en temps utile et selon la forme prescrite est recevable (art. 311 al. 1 et 145 CPC).</w:t>
      </w:r>
    </w:p>
    <w:p>
      <w:r>
        <w:rPr>
          <w:b/>
        </w:rPr>
        <w:t>E. 1.2</w:t>
      </w:r>
    </w:p>
    <w:p>
      <w:r>
        <w:t>Sont également recevables la réponse de l'intimée, ainsi que les réplique, duplique respectives, déposées dans le délai légal, respectivement imparti à cet effet (art. 312 a. 2, 316 al. 1 CPC).</w:t>
      </w:r>
    </w:p>
    <w:p>
      <w:r>
        <w:rPr>
          <w:b/>
        </w:rPr>
        <w:t>E. 1.3</w:t>
      </w:r>
    </w:p>
    <w:p>
      <w:r>
        <w:t>Conformément au droit inconditionnel de réplique, les déterminations spontanées du 8 février 2023 sont recevables en tant que l'appelant s'y prononce sur les arguments soulevés par l'intimée dans l'écriture précédente (ATF 139 I 189 consid. 3.2; arrêt du Tribunal fédéral 4A_232/2018 du 23 mai 2018 consid. 6).</w:t>
      </w:r>
    </w:p>
    <w:p>
      <w:r>
        <w:rPr>
          <w:b/>
        </w:rPr>
        <w:t>E. 1.4</w:t>
      </w:r>
    </w:p>
    <w:p>
      <w:r>
        <w:t>La Cour revoit le fond du litige avec un plein pouvoir d'examen en fait et en droit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 La fixation de la contribution d'entretien du conjoint est soumise à la maxime de disposition (art. 58 CPC; ATF 129 III 417 consid. 2.1.2; arrêt du Tribunal fédéral 5A_751/2019 du</w:t>
      </w:r>
    </w:p>
    <w:p>
      <w:r>
        <w:t>- 8/17 -</w:t>
      </w:r>
    </w:p>
    <w:p>
      <w:r>
        <w:t>C/8024/2021 25 février 2020 consid. 1.1) et à la maxime inquisitoire simple (art. 272 CPC; ATF 129 III 417 précité ibid; arrêt du Tribunal fédéral 5A_855/2017 du 11 avril 2018 consid. 4.3.2).</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novum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2.2</w:t>
      </w:r>
    </w:p>
    <w:p>
      <w:r>
        <w:t>En l'espèce, les pièces nouvelles produites par les parties sont susceptibles d'avoir une influence sur les questions concernant les enfants mineurs des parties de sorte qu'elles sont recevables, de même que les faits qui s'y rapportent, à l'exception de l'échange de messages entre les parties, non pertinent.</w:t>
      </w:r>
    </w:p>
    <w:p>
      <w:r>
        <w:rPr>
          <w:b/>
        </w:rPr>
        <w:t>E. 3</w:t>
      </w:r>
    </w:p>
    <w:p>
      <w:r>
        <w:t>L'intimée sollicite, sur reddition de comptes, la production de pièces par l'appelant. 3.1.1 En droit matrimonial, la requête en production de pièces peut se fonder sur le droit matériel (art. 170 CC) ou sur le droit de procédure (art. 150 et ss CPC), ce que les circonstances du cas d'espèce permettent de déterminer, étant rappelé qu'une telle requête formée dans le cadre d'une procédure déjà pendante n'est pas forcément de nature procédurale (arrêts du Tribunal fédéral 5A_918/2014 du 17 juin 2015 consid. 1 et 5A_635/2013 du 28 juillet 2014 consid. 3.4, 4.1, 5.2 et 6.1; ACJC/432/2022 du 25 mars 2022 consid. 2.1.1). Le droit aux renseignements et pièces fondé sur l'art. 170 al. 2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aussi être invoqué à titre principal, dans une procédure indépendante soumise à la procédure sommaire (art. 271 let. d CPC; arrêt du Tribunal fédéral 5A_918/2014 cité consid. 4.2.1 et les références citées). Le juge doit se prononcer après un examen complet en fait et en droit et sa décision a autorité de chose jugée matérielle. La décision rendue est finale et la voie de l'appel est, le cas échéant, ouverte pour autant que la valeur litigieuse soit supérieure à 10'000 fr. (arrêts du Tribunal fédéral 5A_918/2014 du</w:t>
      </w:r>
    </w:p>
    <w:p>
      <w:r>
        <w:t>- 9/17 -</w:t>
      </w:r>
    </w:p>
    <w:p>
      <w:r>
        <w:t>C/8024/2021 17 juin 2015 consid. 1 et 5A_635/2013 du 28 juillet 2014 consid. 3.4, 4.1, 5.2 et 6.1; ACJC/432/2022 du 25 mars 2022 consid. 2.1.2). Ces décisions se distinguent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p. 1032). La partie concernée dispose cumulativement des droits d'information matériel et procédural. Le choix de la forme selon laquelle sont requises les informations appartient exclusivement à la partie : celle-ci décide seule si elle fonde sa demande sur le droit matériel (art. 170 CC) ou sur le droit de procédure des art. 150 et suivants CPC. Ainsi, pour déterminer laquelle des deux formes doit trouver application dans un cas concret, il y a lieu d'examiner les circonstances particulières du cas d'espèce. Il incombe au juge d'examiner la requête de renseignements afin d'établir si, selon l'intention du demandeur, celle-ci a un caractère indépendant (arrêt du Tribunal fédéral 5A_635/2013 du 28 juillet 2014 consid. 3.4 et 5.2). 3.1.2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au recourant un droit à la réouverture de la procédure probatoire et à l'administration de preuves (arrêts du Tribunal fédéral 5A_86/2016 du</w:t>
      </w:r>
    </w:p>
    <w:p>
      <w:r>
        <w:rPr>
          <w:b/>
        </w:rPr>
        <w:t>E. 3.2</w:t>
      </w:r>
    </w:p>
    <w:p>
      <w:r>
        <w:t>En l'espèce, il n'y a pas lieu d'ordonner la production des pièces sollicitées, compte tenu des considérants qui suivent et de la solution du litige, sans qu'il soit nécessaire de trancher plus avant si la requête relève du droit d'information matériel ou procédural. 4. L'appelant fait grief au Tribunal de ne pas avoir limité les contributions dues à l'entretien des enfants aux montants de 780 fr. et 803 fr. correspondant à leur entretien convenable. Il lui reproche en outre d'avoir fixé le point de départ des contributions au 1er mai 2020. Enfin, il fait valoir que ses revenus vont fortement baisser, suite à la perte de son emploi, ce qui justifierait une baisse des contributions.</w:t>
      </w:r>
    </w:p>
    <w:p>
      <w:r>
        <w:t>- 10/17 -</w:t>
      </w:r>
    </w:p>
    <w:p>
      <w:r>
        <w:t>C/8024/2021</w:t>
      </w:r>
    </w:p>
    <w:p>
      <w:r>
        <w:t>Cela étant, il ne remet pas en cause les montants retenus au titre des revenus (à l'exception des siens à venir) et charges des parties et de leurs enfants.</w:t>
      </w:r>
    </w:p>
    <w:p>
      <w:r>
        <w:t>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4.1.2 Dans quatre arrêts récents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Selon cette méthode concrète en deux étapes ou méthode en deux étapes avec répartition de l'excédent, on examine les ressources et besoins des personnes intéressées, puis les ressources sont réparties d'une manière correspondant aux besoins des ayants droit selon un certain ordre (cf.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l'article 93 LP, en y dérogeant s'agissant du loyer (participation de l'enfant au logement du parent gardien). Pour les enfants, les frais de garde par des tiers, les primes d'assurance-maladie,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et d'assurance,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w:t>
      </w:r>
    </w:p>
    <w:p>
      <w:r>
        <w:t>- 11/17 -</w:t>
      </w:r>
    </w:p>
    <w:p>
      <w:r>
        <w:t>C/8024/2021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précité consid. 7.1-7.2). L'éventuel excédent – après retranchement de la part des revenus dévolue à l'épargne, qui ne participe pas à l'entretien de la famille – est réparti en principe par "grandes et petites têtes", la part pour un parent étant le double de celle pour un enfant mineur (ATF 147 III 265 consid. 7, 7.3). 4.1.3 Le juge du divorce détermine le moment à partir duquel la contribution à l'entretien de l'enfant est due. Celle-ci prend en principe effet à l'entrée en force du jugement de divorce, sauf si le juge en fixe, selon son appréciation, le dies a quo à un autre moment (ATF 142 III 193 consid. 5.3; 141 III 376 consid. 3.3.4; 132 III 401 consid. 2.2; 130 III 297 consid. 3.3.2). L'effet rétroactif ne se justifie que si l'entretien dû n'a pas été assumé en nature ou en espèces ou dès qu'il a cessé de l'être (arrêts du Tribunal fédéral 5A_371/2015 du 29 septembre 2015 consid. 3.1 et 5A_591/2011 du 7 décembre 2011 consid. 5.2). Des contributions doivent être déduits les montants dont l'intimé s'est d'ores et déjà acquitté à titre d'entretien (arrêt du Tribunal fédéral 5A_454/2017 du 17 mai 2018 consid. 5.3, non publié in ATF 144 III 377).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4.2.1 En l'espèce, s'agissant de la période courant entre le 1er mai 2020 et le prononcé du jugement, le disponible de l'appelant a varié entre 4'089 fr., 2'857 fr. (du 1er août au 31 octobre 2021) et 4'414 fr., alors que celui de l'intimée était de 1'555 fr.</w:t>
      </w:r>
    </w:p>
    <w:p>
      <w:r>
        <w:t>- 12/17 -</w:t>
      </w:r>
    </w:p>
    <w:p>
      <w:r>
        <w:t>C/8024/2021 Après paiement des charges des enfants, le disponible de l'appelant était ainsi de respectivement 2'506 fr. (4'089 fr. – 1'583 fr. [780 fr. + 803 fr.]), 1'274 fr. et 2'831 fr. En fixant le montant dû par l'appelant au titre des contributions à l'entretien de chacun des enfants à 1'200 fr., le Tribunal a procédé à une répartition équitable du disponible de celui-ci. En effet, après paiement de ces montants, l'appelant disposait encore d'une somme comparable (soit 1'689 fr. et 2'014 fr.) au disponible de l'intimée (de 1'555 fr.), sauf du 1er août au 31 octobre 2021 (2'857 fr. – 2'400 fr. = 457 fr.). Cependant, cette dernière période étant brève, et le disponible de l'appelant ayant augmenté durant la période subséquente, il ne se justifie pas de modifier les montants alloués pour trois mois. Pour la période subséquente au prononcé du présent arrêt (conformément aux conclusions de l'appelant), il ne se justifie pas non plus de modifier les montants alloués au titre des contributions d'entretien des enfants. En effet, l'appelant est au chômage depuis le mois d'octobre 2022, et perçoit en moyenne 8'650 fr. d'indemnités, au lieu des 9'476 fr. retenus par le Tribunal en dernier lieu. Son disponible est ainsi de 3'588 fr. (au lieu de 4'414 fr.). Après déduction des contributions telles que fixées de 1'200 fr. par enfant, il dispose encore de 1'188 fr. soit un montant comparable à celui de l'intimée (de 1'555 fr.). Il est de plus vraisemblable que, comme par le passé, l'appelant retrouvera un emploi à bref délai, lui procurant un revenu au moins aussi élevé que précédemment. Si tel ne devait pas être le cas, il lui incomberait alors de saisir le Tribunal d'une action en modification du jugement de divorce. 4.2.2 Il est admis par les parties que l'appelant a assumé, depuis la séparation, la moitié du loyer de l'ancien appartement familial dans lequel l'intimée est demeurée avec les enfants, reversé les allocations familiales à celle-ci dès octobre 2017 et pris en charge directement certains frais de parascolaire ou de sport des enfants.</w:t>
      </w:r>
    </w:p>
    <w:p>
      <w:r>
        <w:t>Contrairement à ce que soutient l'appelant, ces paiements ne justifiaient pas qu'il soit renoncé à l'effet rétroactif des contributions d'entretien. En effet, les montants versés étaient insuffisants à couvrir l'entretien convenable des enfants, puisqu'il ne peut en être tenu compte que concernant leur part au loyer (de 226 fr. chacun). Cependant, ce montant, pour autant qu'il soit prouvé, pourra être déduit des sommes dues à titre rétroactif des contributions à l'entretien des enfants. Le chiffre</w:t>
      </w:r>
    </w:p>
    <w:p>
      <w:r>
        <w:rPr>
          <w:b/>
        </w:rPr>
        <w:t>E. 5</w:t>
      </w:r>
    </w:p>
    <w:p>
      <w:r>
        <w:t>L'appelant reproche au premier juge de l'avoir condamné au paiement d'une contribution à l'entretien de l'intimée, qui est indépendante financièrement.</w:t>
      </w:r>
    </w:p>
    <w:p>
      <w:r>
        <w:rPr>
          <w:b/>
        </w:rPr>
        <w:t>E. 5.1</w:t>
      </w:r>
    </w:p>
    <w:p>
      <w:r>
        <w:t>Aux termes de l'art. 125 al. 1 CC, si l'on ne peut raisonnablement attendre d'un époux qu'il pourvoie lui-même à son entretien convenable, y compris à la</w:t>
      </w:r>
    </w:p>
    <w:p>
      <w:r>
        <w:t>- 13/17 -</w:t>
      </w:r>
    </w:p>
    <w:p>
      <w:r>
        <w:t>C/8024/2021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Pour calculer la contribution d'entretien après le divorce, il convient d'appliquer la méthode dite en deux étapes avec répartition de l'excédent. Selon cette méthode, les ressources financières et les besoins des personnes concernées sont déterminés</w:t>
      </w:r>
    </w:p>
    <w:p>
      <w:r>
        <w:t>- 14/17 -</w:t>
      </w:r>
    </w:p>
    <w:p>
      <w:r>
        <w:t>C/8024/2021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Le Tribunal fédéral impose au parent qui prend en charge l'enfant de manière prépondérante de reprendre une activité lucrative à un taux de 50% dès la scolarisation obligatoire du plus jeune enfant, de 80% dès le début du degré secondaire et de 100% dès ses 16 ans (ATF 144 III 481 consid. 4.7.6; arrêt du Tribunal fédéral 5A_889/2018 du 15 mai 2019 consid. 3.2.2). La détermination de la contribution d'entretien est laissée, pour une part importante, à l'appréciation du juge du fait, qui applique les règles du droit et de l'équité (art. 4 CC; ATF 148 III 161 consid. 4.1; 134 III 577 consid. 4; arrêts du Tribunal fédéral 5A_510/2021 du 14 juin 2022 consid. 3.1.2; 5A_191/2021 du 22 février 2022 consid. 5.1.1). Dans tous les cas, le minimum vital du droit des poursuites du débirentier doit être préservé (ATF 147 III 265 précité consid. 7.3). S'agissant de la durée de la contribution d'entretien, le juge doit tenir compte de l'ensemble des critères énumérés de façon non exhaustive à l'art. 125 al. 2 CC (ATF 132 III 598 consid. 9.1; arrêt du Tribunal fédéral 5A_98/2020 du 18 septembre 2020 consid. 4.1.1),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légal de la retraite (ATF 141 III 465 consid. 3.2.1).</w:t>
      </w:r>
    </w:p>
    <w:p>
      <w:r>
        <w:rPr>
          <w:b/>
        </w:rPr>
        <w:t>E. 5.2</w:t>
      </w:r>
    </w:p>
    <w:p>
      <w:r>
        <w:t>En l'espèce, l'intimée travaille à 80% depuis 2018. Compte tenu de montant de la contribution d'entretien fixée à 1'200 fr. par enfant dès le 1er mai 2020, chaque parent dispose, comme il a été vu ci-dessus, d'un excédent à peu près équivalent,</w:t>
      </w:r>
    </w:p>
    <w:p>
      <w:r>
        <w:t>- 15/17 -</w:t>
      </w:r>
    </w:p>
    <w:p>
      <w:r>
        <w:t>C/8024/2021 de sorte qu'il ne se justifiait pas de condamner l'appelant au versement d'une contribution à l'entretien de l'intimée. Le jugement sera réformé sur ce point.</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31 RTFMC). La modification du jugement ne commande pas une nouvelle répartition des frais, compte tenu de la nature familiale du litige et de la situation financière des parties.</w:t>
      </w:r>
    </w:p>
    <w:p>
      <w:r>
        <w:rPr>
          <w:b/>
        </w:rPr>
        <w:t>E. 6.2</w:t>
      </w:r>
    </w:p>
    <w:p>
      <w:r>
        <w:t>Les frais judiciaires d'appel seront fixés à 1'875 fr. (art. 30 et 35 RTFMC). Pour des motifs d'équité liés à la nature et à l'issue du litige, ils seront répartis à parts égales entre les parties. Ils seront compensés avec l'avance fournie, acquise à l'Etat. L'intimée plaidant au bénéfice de l’assistance judiciaire, sa part des frais judiciaires sera provisoirement supportée par l’Etat de Genève (art. 122 al. 1 let. b CPC). Les Services financiers du Pouvoir judiciaire seront donc invités à restituer la somme de 937 fr. 50 à l’appelant.</w:t>
      </w:r>
    </w:p>
    <w:p>
      <w:r>
        <w:rPr>
          <w:b/>
        </w:rPr>
        <w:t>E. 6.3</w:t>
      </w:r>
    </w:p>
    <w:p>
      <w:r>
        <w:t>Pour les mêmes motifs, les parties conserveront à leur charge leurs propres dépens (art. 104, 105 et 107 al. 1 let. c CPC). * * * * *</w:t>
      </w:r>
    </w:p>
    <w:p>
      <w:r>
        <w:t>- 16/17 -</w:t>
      </w:r>
    </w:p>
    <w:p>
      <w:r>
        <w:t>C/8024/2021 PAR CES MOTIFS, La Chambre civile :</w:t>
      </w:r>
    </w:p>
    <w:p>
      <w:r>
        <w:t>A la forme : Déclare recevable l'appel interjeté par A______ contre le jugement JTPI/7533/2022 rendu le 21 juin 2022 par le Tribunal de première instance dans la cause C/8024/2021. Au fond : Annule les chiffres 5 et 11 du dispositif de ce jugement. Cela fait, statuant à nouveau: Condamne A______ à verser, par mois, d'avance et par enfant, allocations familiales ou de formation non comprises et versées en sus, au titre de contribution à l'entretien de ses fils F______ et G______, un montant de 1'200 fr., dès le 1er mai 2020, et jusqu'à la majorité, voire au-delà, pour autant que les conditions de l'article 277 al. 2 CC soient remplies, sous déduction de la somme mensuelle de 452 fr. versée à titre de participation des enfants au loyer de l'intimée, pour autant que le paiement en soit prouvé. Dit que les parties ne se doivent aucune contribution à leur entretien. Confirme le jugement pour le surplus. Déboute les parties de toutes autres conclusions. Sur les frais : Arrête les frais d'appel à 1'875 fr. les met à la charge des parties à raison d'une moitié chacune, et dit qu'ils sont compensés avec l'avance fournie, acquise à l'Etat de Genève. Dit que la part des frais de B______ est provisoirement supportée par l’Etat de Genève. Invite les Services financiers du Pouvoir judiciaire à restituer 937 fr. 50 à A______. Dit que chaque partie supporte ses dépens d'appel.</w:t>
      </w:r>
    </w:p>
    <w:p>
      <w:r>
        <w:t>- 17/17 -</w:t>
      </w:r>
    </w:p>
    <w:p>
      <w:r>
        <w:t>C/8024/2021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