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ACJC/624/2016 vom 21. Januar 2016</w:t>
      </w:r>
    </w:p>
    <w:p>
      <w:r>
        <w:t>GE Cour de justice, 2016-01-21, FR</w:t>
      </w:r>
    </w:p>
    <w:p>
      <w:r>
        <w:rPr>
          <w:b/>
        </w:rPr>
        <w:t xml:space="preserve">Quelle: </w:t>
      </w:r>
      <w:r>
        <w:t>https://mcp.opencaselaw.ch/entscheid/ge_gerichte_ACJC_624_2016</w:t>
      </w:r>
    </w:p>
    <w:p>
      <w:r>
        <w:t>FR: GE_GERICHTE ACJC/624/2016 du 21 janvier 2016</w:t>
      </w:r>
    </w:p>
    <w:p>
      <w:r>
        <w:t>IT: GE_GERICHTE ACJC/624/2016 del 21 gennaio 2016</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l'époux contre les chiffres 4 à 7 du dispositif du jugement a été introduit en temps utile et selon la forme prescrite par la loi (art. 311 al. 1 CPC). Il porte sur des conclusions qui, capitalisées selon l'art. 92 al. 2 CPC, sont supérieures à 10'000 fr., de sorte qu'il est recevable.</w:t>
      </w:r>
    </w:p>
    <w:p>
      <w:r>
        <w:rPr>
          <w:b/>
        </w:rPr>
        <w:t>E. 2</w:t>
      </w:r>
    </w:p>
    <w:p>
      <w:r>
        <w:t>La Cour revoit la cause avec un plein pouvoir d'examen (art. 310 CPC) et établit les faits d'office (art. 272 CPC).</w:t>
      </w:r>
    </w:p>
    <w:p>
      <w:r>
        <w:t>Compte tenu de la présence d'une enfant mineure, les maximes d'office et inquisitoire illimitée sont applicables (art. 296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3</w:t>
      </w:r>
    </w:p>
    <w:p>
      <w:r>
        <w:t>Les parties produisent des pièces nouvelles en seconde instance. L'appelant invoque pour la première fois l'inadéquation de son logement pour accueillir sa fille plus d'un jour, une semaine sur deux, et prend en conséquence des</w:t>
      </w:r>
    </w:p>
    <w:p>
      <w:r>
        <w:t>- 6/13 -</w:t>
      </w:r>
    </w:p>
    <w:p>
      <w:r>
        <w:t>C/22891/2015 conclusions nouvelles visant la réglementation de son droit de visite pour le cas où il trouverait un logement approprié.</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les parties sont ainsi recevables.</w:t>
      </w:r>
    </w:p>
    <w:p>
      <w:r>
        <w:rPr>
          <w:b/>
        </w:rPr>
        <w:t>E. 3.2</w:t>
      </w:r>
    </w:p>
    <w:p>
      <w:r>
        <w:t>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 SCHWEIZER/TAPPY [éd.], 2011, n. 18 ad art. 296 CPC). En l'espèce, les conclusions nouvelles de l'appelant tendant à l'élargissement de son droit de visite se rapportent à un aspect soumis à la maxime d'office et sont donc recevables.</w:t>
      </w:r>
    </w:p>
    <w:p>
      <w:r>
        <w:rPr>
          <w:b/>
        </w:rPr>
        <w:t>E. 4.1</w:t>
      </w:r>
    </w:p>
    <w:p>
      <w:r>
        <w:t>Si la suspension de la vie commune est fondée, le juge ordonne les mesures nécessaires pour les enfants mineurs d'après les dispositions sur les effets de la filiation (art. 176 al. 3 CC).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Lorsqu'on fixe l'étendue d'un droit de visite, il convient d'avoir à l'esprit le but auquel tend la relation personnelle entre le parent titulaire du droit de visite et l'enfant et de voir ce que l'enfant est en mesure de supporter (ATF 120 II 229, JdT 1996 I 331 consid. 4a). Le droit aux relations personnelles est conçu à la fois comme un droit et un devoir des parents, mais aussi comme un droit de la personnalité de l'enfant.</w:t>
      </w:r>
    </w:p>
    <w:p>
      <w:r>
        <w:t>- 7/13 -</w:t>
      </w:r>
    </w:p>
    <w:p>
      <w:r>
        <w:t>C/22891/2015 Le droit de visite doit servir en premier lieu l'intérêt de l'enfant (ATF 127 III 295 consid. 4a).</w:t>
      </w:r>
    </w:p>
    <w:p>
      <w:r>
        <w:t>Seul le juge est compétent pour prendre une décision sur le principe et l'étendue du droit de visite; il est seul habilité à en fixer les modalités et il ne peut pas confier au curateur la tâche d'en déterminer la réglementation (ATF 118 II 241, JdT 1995 I 98; ATF 100 II 4, JdT 1975 I 160).</w:t>
      </w:r>
    </w:p>
    <w:p>
      <w:r>
        <w:rPr>
          <w:b/>
        </w:rPr>
        <w:t>E. 4.2</w:t>
      </w:r>
    </w:p>
    <w:p>
      <w:r>
        <w:t>En l'espèce, l'appelant voit son enfant depuis plusieurs mois un samedi ou un dimanche sur deux de 10h30 à 17h00. Ces visites, mises en place grâce à l'intervention du SPMi, se déroulent bien, l'intimée ayant elle-même conclu à la réserve d'un droit de visite de même étendue en faveur de son mari, ce malgré le comportement inadéquat dont ce dernier ferait, selon ses dires, preuve à son encontre. L'appelant a admis en première instance les conclusions de son épouse tendant à la réserve en sa faveur d'un droit de visite d'un samedi ou un dimanche sur deux de 10h30 à 17h00. Devant la Cour, il confirme que ces modalités sont pour l'heure conformes aux intérêts de l'enfant, dès lors que son logement ne lui permet pas de recevoir celle-ci convenablement. Il demande néanmoins que le jugement prévoie d'ores et déjà un élargissement du droit de visite en prévision d'un déménagement dans un appartement plus grand. Dans la mesure où un déménagement n'est pour l'heure pas prévu, que le moment où il aura lieu reste indéterminé et que les nouvelles conditions de logement de l'appelant sont actuellement inconnues, on ne saurait déjà tenir compte d'un tel changement de circonstances. Le juge n'étant pas autorisé à déléguer au curateur le pouvoir de modifier les modalités du droit de visite, il ne peut être donné suite aux conclusions de l'époux tendant à ce que l'élargissement de son droit soit soumis à l'approbation du curateur. Les conclusions de l'appelant seront donc écartées et le jugement entrepris confirmé sur ce point.</w:t>
      </w:r>
    </w:p>
    <w:p>
      <w:r>
        <w:rPr>
          <w:b/>
        </w:rPr>
        <w:t>E. 5</w:t>
      </w:r>
    </w:p>
    <w:p>
      <w:r>
        <w:t>5.1.1 A teneur de l'art. 285 al. 1 CC, la contribution d'entretien doit correspondre aux besoins de l'enfant ainsi qu'à la situation et aux ressources des père et mère (arrêt du Tribunal fédéral 5A_511/2010 du 4 février 2011 consid. 2.1). La loi ne prescrit pas de méthode de calcul particulière pour arrêter la contribution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w:t>
      </w:r>
    </w:p>
    <w:p>
      <w:r>
        <w:t>- 8/13 -</w:t>
      </w:r>
    </w:p>
    <w:p>
      <w:r>
        <w:t>C/22891/2015 2 février 2007 consid. 4.3; PERRIN, in Commentaire romand, Code civil I, n. 23 ss ad art. 285 CC; BASTONS BULLETTI, L'entretien après divorce : Méthodes de calcul, montant, durée et limites in SJ 2007 II 77, p. 84 ss et 101 ss).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5.1.2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5A_317/2011 du 22 novembre 2011 consid. 6.2, non publié aux ATF 137 III 614; 5A_612/2011 du 27 février 2012 consid. 2.1; 5A_341/2011 du 20 septembre 2011 consid. 2.5.1).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w:t>
      </w:r>
    </w:p>
    <w:p>
      <w:r>
        <w:t>- 9/13 -</w:t>
      </w:r>
    </w:p>
    <w:p>
      <w:r>
        <w:t>C/22891/2015 en obtenir, compte tenu des circonstances subjectives susmentionnées, ainsi que du marché du travail (ATF 128 III 4 consid. 4c/bb; 126 III 10 consid. 2b).</w:t>
      </w:r>
    </w:p>
    <w:p>
      <w:r>
        <w:rPr>
          <w:b/>
        </w:rPr>
        <w:t>E. 5.2</w:t>
      </w:r>
    </w:p>
    <w:p>
      <w:r>
        <w:t>En l'espèce, la question de savoir si l'intimée forme une communauté domestique avec sa mère peut rester indécise. En effet, son budget mensuel est en tout état de cause actuellement déficitaire de plus de 1'800 fr., que l'on retienne un montant de base d'entretien en sa faveur de l'ordre de 850 fr., de 1'000 fr. ou encore de 1'350 fr. L'appelant, âgé de 26 ans, est en bonne santé et ne souffre d'aucun problème physique ou psychique l'empêchant de travailler. Malgré ses faibles connaissances de la langue française et son manque de formation, il a été à même de trouver un emploi à temps partiel en tant que paysagiste pour un salaire mensuel net de 1'969 fr. Dans ces circonstances, il peut raisonnablement être exigé de lui, en raison de ses obligations envers son enfant mineure, qu'il trouve un emploi à plein temps lui procurant un revenu mensuel net de l'ordre 3'940 fr. dans un domaine de compétence similaire à celui exercé actuellement, ce d'autant que le marché du travail n'apparaît pas saturé en ce domaine. A cet égard, l'époux n'a produit aucun document pour rendre vraisemblable les difficultés qu'il allègue à trouver un emploi à plein temps ou son impossibilité à augmenter son taux d'activité auprès de son employeur actuel. Le fait qu'il ait dû effectuer des recherches de travail à la demande de l'Hospice, ainsi qu'il le prétend, ne saurait par ailleurs constituer un critère excluant l'imputation d'un revenu hypothétique (cf. ATF 137 III 118 consid. 3.1 au sujet de la perception des indemnités chômage). Un revenu mensuel net de 3'940 fr. est au demeurant compatible avec le salaire médian brut de 4'470 fr., soit environ 4'000 fr. nets, pour 40 heures de travail par semaine d'une personne du même profil que l'appelant exerçant dans un des domaines les moins rémunérés de l'industrie manufacturière (naissance en 1989, sans formation, ni expérience, tâches simples et répétitives, domaine du nettoyage et de l'hygiène publique), selon le calculateur de salaire en ligne pour le canton de Genève (http://cms2.unige.ch/ses/lea/oue/projet/salaires/ogmt/index.php). Le premier juge a donc imputé à bon droit un revenu hypothétique à l'époux. Le fait que le Tribunal n'ait pas motivé les raisons l'ayant poussé à retenir un tel revenu dès le prononcé du jugement ne constitue pas une violation du droit d'être entendu de l'appelant, qui n'avait soulevé aucun argument sur le sujet en première instance. En tout état de cause, une éventuelle violation du droit d'être entendu serait réparée en appel, dès lors qu'elle ne pourrait être qualifiée de particulièrement grave et que la Cour de céans dispose d'un plein pouvoir d'examen.</w:t>
      </w:r>
    </w:p>
    <w:p>
      <w:r>
        <w:t>- 10/13 -</w:t>
      </w:r>
    </w:p>
    <w:p>
      <w:r>
        <w:t>C/22891/2015 L'intimée allègue, depuis le début de la procédure initiée le 3 novembre 2015, que son mari serait à même de réaliser un revenu plus important. Le jugement entrepris retenant un revenu hypothétique à l'encontre de l'époux date par ailleurs du 21 janvier 2016. L'appelant ne pouvait ignorer, à tout le moins depuis cette date, qu'il lui était nécessaire d'augmenter ses revenus pour subvenir au besoin de sa fille, la mère étant au surplus sans ressources. Dans ces circonstances, il ne se justifie pas de lui octroyer un délai plus long que celui ayant couru jusqu'au prononcé du présent arrêt pour accroître son taux d'activité. Le revenu hypothétique de 3'940 fr. sera ainsi retenu dès le prononcé du présent arrêt. Il ne sera pas tenu compte, parmi les charges de l'époux, de la nouvelle prime d'assurance-maladie alléguée, puisque les documents produits ne permettent pas de savoir si le montant facturé par l'assurance inclut également d'autres frais que la seule prime d'assurance-maladie obligatoire, comme par exemple une prime d'assurance-maladie complémentaire. Les charges mensuelles incompressibles de l'appelant sont donc de 2'300 fr., ce qui lui laisse un disponible de 1'640 fr. par mois. Les besoins de stricte nécessité de C______ s'élèvent à 290 fr. Au vu de la situation financière de l'intimée et du fait qu'elle assume l'essentiel des soins en nature de l'enfant, âgée de 3 ans, dont elle a la garde, il se justifie de faire supporter l'entier du coût financier de l'entretien de C______ à l'appelant. Compte tenu du solde dont dispose ce dernier, une contribution de 450 fr. par mois telle que réclamée par l'intimée et fixée par le Tribunal, apparaît adéquate. Ce montant sera donc confirmé.</w:t>
      </w:r>
    </w:p>
    <w:p>
      <w:r>
        <w:rPr>
          <w:b/>
        </w:rPr>
        <w:t>E. 5.3</w:t>
      </w:r>
    </w:p>
    <w:p>
      <w:r>
        <w:t>Le Tribunal a fixé le dies a quo de la contribution d'entretien au jour du prononcé du jugement. Les parties n'ont pas contesté ce point, de sorte qu'il sera confirmé. La contribution à l'entretien de C______, allocations familiales ou d'études éventuelles non comprises, sera fixée à 200 fr. par mois, ce qui correspond au montant proposé par l'appelant depuis le début de la procédure, jusqu'au prononcé du présent arrêt, et sera ensuite portée à 450 fr. par mois (cf. consid. 5.2). Le chiffre 7 du dispositif du jugement entrepris sera par conséquent modifié dans ce sens.</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w:t>
      </w:r>
    </w:p>
    <w:p>
      <w:r>
        <w:t>- 11/13 -</w:t>
      </w:r>
    </w:p>
    <w:p>
      <w:r>
        <w:t>C/22891/2015 En l'espèce, les frais judiciaires d'appel, seront fixés à 800 fr. (art. 96 CPC cum art. 31 et 37 du Règlement fixant le tarif des frais en matière civile, RTFMC - E 1 05.10). Au vu de la nature familiale du litige, les frais judiciaires seront mis à la charge des parties pour moitié chacune. Chaque partie supportera ses propres dépens. Dans la mesure où ces dernières plaident au bénéfice de l'assistance juridique, les frais judiciaires seront provisoirement supportés par l'Etat. Il sera rappelé que les bénéficiaires de l'assistance juridique sont tenus au remboursement des frais judiciaires mis à la charge de l'Etat dans la mesure de l'art. 123 CPC. En ce qui concerne les frais de première instance, leur quotité, qui n'est d'ailleurs pas contestée, tout comme leur répartition respectant les normes susmentionnées, ils seront confirmés.</w:t>
      </w:r>
    </w:p>
    <w:p>
      <w:r>
        <w:rPr>
          <w:b/>
        </w:rPr>
        <w:t>E. 7</w:t>
      </w:r>
    </w:p>
    <w:p>
      <w:r>
        <w:t>L'arrêt de la Cour, qui statue sur mesures protectrices de l'union conjugale, est susceptible d'un recours en matière civile, les moyens étant limités en application de l'art. 98 LTF. * * * * *</w:t>
      </w:r>
    </w:p>
    <w:p>
      <w:r>
        <w:t>- 12/13 -</w:t>
      </w:r>
    </w:p>
    <w:p>
      <w:r>
        <w:t>C/22891/2015 PAR CES MOTIFS, La Chambre civile : A la forme : Déclare recevable l'appel interjeté par A______ contre les chiffres 4 et 7 du dispositif du jugement JTPI/560/2016 rendu le 21 janvier 2016 par le Tribunal de première instance dans la cause C/22891/2015-12. Au fond : Annule le chiffre 7 du dispositif du jugement entrepris et statuant à nouveau sur ce point : Condamne A______ à verser en mains d'B______, par mois et d'avance, allocations familiales ou d'études éventuelles non comprises, à titre de contribution à l'entretien de C______, la somme de 200 fr. du 21 janvier 2016 au prononcé du présent arrêt, puis de 450 fr. Confirme le chiffre 4 du dispositif du jugement entrepris. Déboute les parties de toutes autres conclusions. Sur les frais : Arrête les frais judiciaires d'appel à 800 fr. et les met à la charge des parties par moitié chacune. Dit que ces frais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- 13/13 -</w:t>
      </w:r>
    </w:p>
    <w:p>
      <w:r>
        <w:t>C/22891/2015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