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ACJC/623/2020 vom 2. Juni 2020</w:t>
      </w:r>
    </w:p>
    <w:p>
      <w:r>
        <w:t>GE Cour de justice, 2020-06-02, FR</w:t>
      </w:r>
    </w:p>
    <w:p>
      <w:r>
        <w:rPr>
          <w:b/>
        </w:rPr>
        <w:t xml:space="preserve">Quelle: </w:t>
      </w:r>
      <w:r>
        <w:t>https://mcp.opencaselaw.ch/entscheid/ge_gerichte_ACJC_623_2020</w:t>
      </w:r>
    </w:p>
    <w:p>
      <w:r>
        <w:t>FR: GE_GERICHTE ACJC/623/2020 du 2 juin 2020</w:t>
      </w:r>
    </w:p>
    <w:p>
      <w:r>
        <w:t>IT: GE_GERICHTE ACJC/623/2020 del 2 giugno 2020</w:t>
      </w:r>
    </w:p>
    <w:p>
      <w:pPr>
        <w:pStyle w:val="Heading2"/>
      </w:pPr>
      <w:r>
        <w:t>Erwägungen</w:t>
      </w:r>
    </w:p>
    <w:p>
      <w:r>
        <w:rPr>
          <w:b/>
        </w:rPr>
        <w:t>E. 1</w:t>
      </w:r>
    </w:p>
    <w:p>
      <w:r>
        <w:t>A teneur de l’art. 241 al. 2 CPC, un désistement d’action a les effets d’une décision entrée en force.</w:t>
      </w:r>
    </w:p>
    <w:p>
      <w:r>
        <w:t>Dans un tel cas, l’autorité saisie raye l'affaire du rôle et statue sur les frais (art. 241 al. 3 et 104 al. 1 CPC).</w:t>
      </w:r>
    </w:p>
    <w:p>
      <w:r>
        <w:rPr>
          <w:b/>
        </w:rPr>
        <w:t>E. 2.1</w:t>
      </w:r>
    </w:p>
    <w:p>
      <w:r>
        <w:t>Selon les règles générales de répartition des frais - qui comprennent les frais judiciaires et les dépens, dont le défraiement du représentant professionnel (art. 95 al. 1 et al. 3 let. b CPC) - ceux-ci sont mis à la charge de la partie succombante. En cas de désistement d'action, la partie succombante est le demandeur (art. 106 al. 1 CPC).</w:t>
      </w:r>
    </w:p>
    <w:p>
      <w:r>
        <w:rPr>
          <w:b/>
        </w:rPr>
        <w:t>E. 2.2</w:t>
      </w:r>
    </w:p>
    <w:p>
      <w:r>
        <w:t>Lorsqu'une cause est retirée, l'émolument minimal peut être réduit, au maximum, à concurrence des 3/4, mais, en principe, pas en deçà d'un solde de 1'000 fr. (art. 7 al. 1 du Règlement fixant le tarif des frais en matière civile). En l’espèce, les frais judiciaires, comprenant les frais relatifs à la décision rendue sur mesures provisionnelles, seront arrêtés à 5'000 fr. (art. 95 al. 1 let. a, art. 96 CPC, art. 26 du Règlement fixant le tarif des frais en matière civile, RTFMC) - la procédure sommaire étant applicable à l’institution d’un contrôle spécial de la société anonyme (art. 697a à 697g CO et 250 let. c ch. 8 CPC) - et mis à la charge du requérant, qui succombe. Ils seront compensés avec l'avance de frais fournie par celui-ci, acquise à l'Etat à due concurrence (art. 111 al. 1 CPC), de sorte que le requérant sera condamné à verser 2'500 fr. (5'000 fr. – 2'500 fr.) au titre de solde des frais. 2.3.1 Si la contestation porte sur des affaires non pécuniaires, le défraiement du représentant professionnel est de 600 fr. à 18'000 fr. en fonction de l'importance et de la difficulté de la cause ainsi que selon le travail effectué (art. 86 RTFMC).</w:t>
      </w:r>
    </w:p>
    <w:p>
      <w:r>
        <w:t>- 4/5 -</w:t>
      </w:r>
    </w:p>
    <w:p>
      <w:r>
        <w:t>C/24284/2019 L'art. 23 al. 2 LaCC dispose, quant à lui, que lorsque le procès ne se termine pas par une décision au fond, mais par un désistement, le défraiement peut être réduit en conséquence (art. 23 al. 2 LaCC). A Genève, en l'absence de tarif officiel, il y a lieu de se référer au tarif horaire usuel des avocats. Les montants admis à ce titre sont de 400 fr. à 450 fr. de l'heure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Un montant de 3% à titre de débours (art. 25 LaCC) et de 7,7% à titre de TVA (art. 26 al. 1 LaCC; art. 25 al. 1 LTVA) doivent être ajoutés. 2.3.2 En l’espèce, le conseil de la citée n’a pas produit son relevé d’activité, de sorte qu’il convient d’évaluer celle-ci. Il a tout d'abord dû prendre connaissance tant de la requête en contrôle spécial de quarante pages que du volumineux chargé de pièces de plusieurs centaines de pages qui l'accompagnait. La prise de connaissance de cette requête peut être estimée à quatre heures d’activité. Le conseil de la citée a ensuite produit une réponse sur mesures provisionnelles d’une vingtaine de page, accompagnée de huit pièces. La rédaction de cette réponse peut être estimée à treize d’heures d’activité. Deux heures d’activité ont pu être consacrées aux échanges ultérieurs d’écritures avant que le Cour ne garde la cause à juger sur mesures provisionnelles. Enfin, deux heures doivent être ajoutées pour les rendez-vous que le conseil a eus avec sa cliente. Cela représente au total vingt-une heures de travail à 450 fr. de l’heure, soit une somme de 9'450 fr., à laquelle s’ajoutent les débours et la TVA (1'011 fr. 15), soit un montant de 10'461 fr. 15, arrêté à 10’000 fr. Dès lors que le montant des dépens a été arrêté compte tenu de l’activité déployée par le représentant, en non pas en fonction de la valeur litigieuse, il n’y a pas lieu de faire application de l’art. 88 RTFMC. Le requérant sera donc condamné à verser 10'000 fr. à la citée à titre de dépens. * * * * *</w:t>
      </w:r>
    </w:p>
    <w:p>
      <w:r>
        <w:t>- 5/5 -</w:t>
      </w:r>
    </w:p>
    <w:p>
      <w:r>
        <w:t>C/24284/2019 PAR CES MOTIFS, La Chambre civile :</w:t>
      </w:r>
    </w:p>
    <w:p>
      <w:r>
        <w:t>Statuant en instance unique : Prend acte du retrait de la requête en contrôle spécial formée le 28 octobre 2019 par A______ contre B______ SA. Cela fait : Raye la cause du rôle. Sur les frais : Condamne A______ aux frais judiciaires arrêtés à 5'000 fr., compensés avec l'avance versée, acquise à due concurrence à l'Etat de Genève. Condamne A______ à verser 2'500 fr. à l'Etat de Genève, soit pour lui les Services financiers du Pouvoir judiciaire, au titre de solde des frais judiciaires. Condamne A______ à verser le montant de 10’000 fr. à B______ SA à titre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