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ACJC/622/2025 vom 19. Mai 2025</w:t>
      </w:r>
    </w:p>
    <w:p>
      <w:r>
        <w:t>GE Cour de justice, 2025-05-19, FR</w:t>
      </w:r>
    </w:p>
    <w:p>
      <w:r>
        <w:rPr>
          <w:b/>
        </w:rPr>
        <w:t xml:space="preserve">Quelle: </w:t>
      </w:r>
      <w:r>
        <w:t>https://mcp.opencaselaw.ch/entscheid/ge_gerichte_ACJC_622_2025</w:t>
      </w:r>
    </w:p>
    <w:p>
      <w:r>
        <w:t>FR: GE_GERICHTE ACJC/622/2025 du 19 mai 2025</w:t>
      </w:r>
    </w:p>
    <w:p>
      <w:r>
        <w:t>IT: GE_GERICHTE ACJC/622/2025 del 19 maggio 2025</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w:t>
      </w:r>
    </w:p>
    <w:p>
      <w:r>
        <w:t>- 5/8 -</w:t>
      </w:r>
    </w:p>
    <w:p>
      <w:r>
        <w:t>C/4916/2017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5A_613/2022 du 2 février 2023 consid. 3.1).</w:t>
      </w:r>
    </w:p>
    <w:p>
      <w:r>
        <w:t>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w:t>
      </w:r>
    </w:p>
    <w:p>
      <w:r>
        <w:rPr>
          <w:b/>
        </w:rPr>
        <w:t>E. 1.2</w:t>
      </w:r>
    </w:p>
    <w:p>
      <w:r>
        <w:t>En l'occurrence, le renvoi porte sur les dépens de la procédure cantonale. Il convient donc de statuer à nouveau sur ce point uniquement.</w:t>
      </w:r>
    </w:p>
    <w:p>
      <w:r>
        <w:rPr>
          <w:b/>
        </w:rPr>
        <w:t>E. 1.3</w:t>
      </w:r>
    </w:p>
    <w:p>
      <w:r>
        <w:t>Il est précisé que la composition qui rend le présent arrêt est différente de celle ayant rendu l'arrêt qui a été partiellement annulé par le Tribunal fédéral en raison du départ de la Cour civile de la Cour de justice du juge J______.</w:t>
      </w:r>
    </w:p>
    <w:p>
      <w:r>
        <w:rPr>
          <w:b/>
        </w:rPr>
        <w:t>E. 2</w:t>
      </w:r>
    </w:p>
    <w:p>
      <w:r>
        <w:t>Le Tribunal fédéral a considéré que la fixation des dépens à 35'000 fr. était insuffisamment motivée, la Cour s'étant écartée des règles des art. 85 al. 1 et 90 RTFMC et n'ayant pas cité l'art. 23 LaCC ("cas spéciaux"), en indiquant en quoi il y aurait une disproportion manifeste entre la valeur litigieuse et l'intérêt des parties ou entre le taux applicable selon la loi et le travail effectif de l'avocat.</w:t>
      </w:r>
    </w:p>
    <w:p>
      <w:r>
        <w:rPr>
          <w:b/>
        </w:rPr>
        <w:t>E. 2.1</w:t>
      </w:r>
    </w:p>
    <w:p>
      <w:r>
        <w:t>Le défraiement d'un représentant professionnel est, en règle générale, proportionnel à la valeur litigieuse; il est fixé d'après l'importance de la cause, ses difficultés, l'ampleur du travail et le temps employé (art. 105 al. 2 CPC; art. 84 RTFMC). Lorsque la valeur litigieuse se situe entre 300'000 fr. et 600'000 fr., le défraiement s'élève à 19'400 fr., plus 2% de la valeur litigieuse dépassant 300'000 fr. (art. 85 RTFMC). Pour les affaires pécuniaires, le défraiement prend pour base le tarif prévu; sans préjudice de l'art. 23 LaCC, il peut s'en écarter de plus ou moins 10% pour tenir compte des éléments rappelés à l'art. 84 RTFMC (art. 85 al. 1 RTFMC). Au montant du tarif s'ajoutent les débours et la TVA, soit, respectivement 3% et 8,1% (art. 25 et 26 LaCC).</w:t>
      </w:r>
    </w:p>
    <w:p>
      <w:r>
        <w:t>- 6/8 -</w:t>
      </w:r>
    </w:p>
    <w:p>
      <w:r>
        <w:t>C/4916/2017 Le défraiement est réduit dans la règle d'un à deux tiers par rapport au tarif de l'art. 85 RTFMC dans les procédures d'appel et de recours (art. 90 RTFMC). Selon l'article 23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(arrêts du Tribunal fédéral 5A_1007/2017 du 6 avril 2018 consid. 2.2.2 et 2.3.3; 5A_171/2014 du 14 juillet 2014 consid. 2.3.2 et les réf. cit; ACJC/941/2020 du 30 juin 2020 consid. 5.1 et 5.2; ACJC/1669/2019 du</w:t>
      </w:r>
    </w:p>
    <w:p>
      <w:r>
        <w:rPr>
          <w:b/>
        </w:rPr>
        <w:t>E. 2.2</w:t>
      </w:r>
    </w:p>
    <w:p>
      <w:r>
        <w:t>En l'espèce, les parties à la procédure étaient représentées par un avocat. L'appelante a succombé dans ses prétentions et il n'est pas contesté qu'il lui incombe de verser des dépens à ses adverses parties. La valeur litigieuse des prétentions s'élève à 502'200 fr., de sorte que, conformément à l'art. 85 RTFMC, le montant de base du défraiement est de 23'440 fr. (19'400 fr. + [202'200 fr. × 2%]), montant auquel s'ajoutent 2'600 fr. de débours (702 fr.) et de TVA (1'898 fr.), soit un total de 26'040 fr. La présente affaire, bien qu'elle ne puisse être qualifiée de banale, n'a pas présenté de complexité particulière s'agissant du versement d'une commission de courtage. Devant la Cour, l'activité du conseil des intimés 1 à 4 a consisté dans la prise de connaissance de l'acte d'appel (de seize pages) et la rédaction d'une réponse de dix pages. Ledit conseil a ensuite pris connaissance de la réplique de l'appelante, de sept pages, et déposé une duplique de neuf pages. Il ne peut dès lors être considéré que le travail consacré aurait été d'une importance considérable, même si le conseil précité a représenté quatre parties, ce qui n'a pas engendré un accroissement de travail. Il en va de même de l'activité du conseil de l'intimée 5. Il a pris connaissance du mémoire d'appel et a rédigé une réponse de treize pages et une duplique de treize pages. L'intimée soutient qu'il ne se justifie pas de réduire le montant initialement alloué par la Cour compte tenu des multiples "contre-vérités" et des écritures prolixes de l'appelante devant la Cour notamment. L'acte d'appel comporte toutefois seize pages, soit une écriture relativement courte. Il en va de même de la réplique de l'appelante, tenant sur treize pages. Par ailleurs, si l'appelante n'a pas</w:t>
      </w:r>
    </w:p>
    <w:p>
      <w:r>
        <w:t>- 7/8 -</w:t>
      </w:r>
    </w:p>
    <w:p>
      <w:r>
        <w:t>C/4916/2017 obtenu gain de cause, il ne peut être retenu qu'elle aurait multiplié ses actes de procédures en appel ou agit de manière téméraire. Il ne se justifie ainsi pas de s'écarter du barème de l'art. 85 RTFMC, ni du tarif cantonal en application de l'art. 23 LaCC. Aucun motif ne commande par ailleurs de renoncer à la réduction du montant de base du défraiement d'un à deux tiers selon l'art. 90 RTFMC. Le montant qui peut être alloué en application des dispositions précitées est donc compris entre 8'680 fr. et 17'360 fr. Ainsi, au vu de l'ensemble des critères à prendre en compte et des circonstances du cas d'espèce, soit notamment la valeur litigieuse, la difficulté et l'ampleur du travail impliqué, le nombre de parties, les dépens d'appel seront arrêtés à 15'000 fr., débours et TVA compris pour, d'une part, l'hoirie de B______, soit pour elle, C______ et D______, ainsi qu'à C______, D______ et F______, et, d'autre part, pour G______ SA. L'appelante sera par conséquent condamnée à leur verser ces montants. 3. Il sera renoncé à percevoir un émolument de décision dans le cadre de la présente procédure de renvoi, celle-ci ayant été rendue nécessaire par l'annulation partielle de l'arrêt de la Cour du 16 février 2024 par le Tribunal fédéral. Pour le surplus, l'octroi de dépens en lien avec ladite procédure de renvoi ne se justifie pas (art. 107 al. 1 let. c CPC). * * * * *</w:t>
      </w:r>
    </w:p>
    <w:p>
      <w:r>
        <w:t>- 8/8 -</w:t>
      </w:r>
    </w:p>
    <w:p>
      <w:r>
        <w:t>C/4916/2017 PAR CES MOTIFS, La Chambre civile : Statuant sur renvoi du Tribunal fédéral : Condamne A______ SARL à verser à l'hoirie de B______, soit pour elle, C______ et D______, ainsi qu'à C______, D______ et F______, pris conjointement et solidairement, la somme de 15'000 fr. à titre de dépens d'appel. Condamne A______ SARL à verser à G______ SA la somme de 15'000 fr. à titre de dépens d'appel. Dit qu'il n'y a pas lieu à perception de frais judiciaires, ni à fixation de dépens pour la procédure postérieure à l'arrêt de renvoi du Tribunal fédéral. Déboute les parties de toutes autres conclusions. Siégeant : Monsieur Laurent RIEBEN, président; Madame Nathalie LANDRY-BARTHE,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novembre 2019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