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ACJC/622/2019 vom 14. Mai 2019</w:t>
      </w:r>
    </w:p>
    <w:p>
      <w:r>
        <w:t>GE Cour de justice, 2019-05-14, FR</w:t>
      </w:r>
    </w:p>
    <w:p>
      <w:r>
        <w:rPr>
          <w:b/>
        </w:rPr>
        <w:t xml:space="preserve">Quelle: </w:t>
      </w:r>
      <w:r>
        <w:t>https://mcp.opencaselaw.ch/entscheid/ge_gerichte_ACJC_622_2019</w:t>
      </w:r>
    </w:p>
    <w:p>
      <w:r>
        <w:t>FR: GE_GERICHTE ACJC/622/2019 du 14 mai 2019</w:t>
      </w:r>
    </w:p>
    <w:p>
      <w:r>
        <w:t>IT: GE_GERICHTE ACJC/622/2019 del 14 maggio 2019</w:t>
      </w:r>
    </w:p>
    <w:p>
      <w:pPr>
        <w:pStyle w:val="Heading2"/>
      </w:pPr>
      <w:r>
        <w:t>Erwägungen</w:t>
      </w:r>
    </w:p>
    <w:p>
      <w:r>
        <w:rPr>
          <w:b/>
        </w:rPr>
        <w:t>E. 1.1</w:t>
      </w:r>
    </w:p>
    <w:p>
      <w:r>
        <w:t>Interjeté dans le délai utile et suivant la forme prescrits par la loi (art. 130, 131, 311 al. 1 CPC), à l'encontre d'une décision finale au sens de l'art. 308 al. 1 let. a CPC, statuant sur une affaire non pécuniaire, puisque portant sur les droits parentaux (arrêt du Tribunal fédéral 5A_130/2018 du 11 avril 2018 consid. 1), l'appel est recevable.</w:t>
      </w:r>
    </w:p>
    <w:p>
      <w:r>
        <w:rPr>
          <w:b/>
        </w:rPr>
        <w:t>E. 1.2</w:t>
      </w:r>
    </w:p>
    <w:p>
      <w:r>
        <w:t>La Cour revoit la cause avec un plein pouvoir d'examen (art. 310 CPC). Dans la mesure où le litige concerne des enfants mineurs, les maximes d'office et inquisitoire illimitée sont applicables (art. 296 al. 1 et 3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w:t>
      </w:r>
    </w:p>
    <w:p>
      <w:r>
        <w:rPr>
          <w:b/>
        </w:rPr>
        <w:t>E. 2.2</w:t>
      </w:r>
    </w:p>
    <w:p>
      <w:r>
        <w:t>En l’espèce, compte tenu des principes rappelés ci-dessus, les pièces nouvellement produites par l'appelante et les faits qu'elles comportent sont recevables.</w:t>
      </w:r>
    </w:p>
    <w:p>
      <w:r>
        <w:t>- 7/11 -</w:t>
      </w:r>
    </w:p>
    <w:p>
      <w:r>
        <w:t>C/12248/2017</w:t>
      </w:r>
    </w:p>
    <w:p>
      <w:r>
        <w:rPr>
          <w:b/>
        </w:rPr>
        <w:t>E. 3.1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w:t>
      </w:r>
    </w:p>
    <w:p>
      <w:r>
        <w:rPr>
          <w:b/>
        </w:rPr>
        <w:t>E. 3.2</w:t>
      </w:r>
    </w:p>
    <w:p>
      <w:r>
        <w:t>En l'occurrence, les parties sollicitent leur propre audition et celle de l'assistante sociale du SPMi en charge des mandats de curatelle, d'assistance éducative et pour le droit de visite père-enfants. L'appelante veut ainsi démontrer que son ex-époux n'a plus vu ses enfants et est injoignable, tandis que l'intimé souhaite quant à lui prouver qu'il a accompli les démarches permettant aux enfants de voyager.</w:t>
      </w:r>
    </w:p>
    <w:p>
      <w:r>
        <w:t>Cela étant, nantie notamment d'un rapport du SEASP qui n'occulte pas les difficultés que connaissent les époux à communiquer et à collaborer entre eux, la Cour s'estime suffisamment renseignée sur la situation de la famille. Quoi qu'il en soit, la circonstance selon laquelle l'intimé n'exercerait pas de manière régulière son droit de visite n'est pas décisive pour statuer sur l'attribution de l'autorité parentale. Il n'est par ailleurs plus litigieux que l'intimé a signé les formulaires permettant aux enfants de voyager en Afrique du Sud. Enfin, les parties ont pu faire valoir oralement leur point de vue à deux reprises devant le premier juge.</w:t>
      </w:r>
    </w:p>
    <w:p>
      <w:r>
        <w:t>La cause étant en état d'être jugée, les parties seront déboutées de leurs réquisitions de preuves.</w:t>
      </w:r>
    </w:p>
    <w:p>
      <w:r>
        <w:rPr>
          <w:b/>
        </w:rPr>
        <w:t>E. 4</w:t>
      </w:r>
    </w:p>
    <w:p>
      <w:r>
        <w:t>4.1.1. L'art. 134 al. 1 CC prescrit qu’à la requête du père ou de la mère, de l’enfant ou de l’autorité de protection de l’enfant, l’attribution de l’autorité parentale doit être modifiée lorsque des faits nouveaux importants l’exigent pour le bien de l’enfant.</w:t>
      </w:r>
    </w:p>
    <w:p>
      <w:r>
        <w:t>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w:t>
      </w:r>
    </w:p>
    <w:p>
      <w:r>
        <w:t>- 8/11 -</w:t>
      </w:r>
    </w:p>
    <w:p>
      <w:r>
        <w:t>C/12248/2017 la garde de fait, ne dépend pas seulement de l'existence de circonstances nouvelles importantes; elle doit aussi être commandée par le bien de l'enfant (arrêts du Tribunal fédéral 5A_781/2015 du 14 mars 2016 consid. 3.2.2; 5A_428/2014 du 22 juillet 2014 consid. 6.2; 5A_63/2011 du 1er juin 2011 consid. 2.4.1; 5A_697/2009 du 4 mars 2010 consid. 3; 5C.63/2005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w:t>
      </w:r>
    </w:p>
    <w:p>
      <w:r>
        <w:t>La procédure de modification n'a cependant pas pour but de corriger le premier jugement, mais de l'adapter aux circonstances nouvelles (ATF 141 III 376 consid. 3.3.1 concernant l'art. 179 CC). S'agissant de la réglementation de la garde et des relations personnelles,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du Tribunal fédéral 5A_866/2013 du 16 avril 2014 consid. 3.1 et les références).</w:t>
      </w:r>
    </w:p>
    <w:p>
      <w:r>
        <w:t>4.1.2. L'autorité parentale sert le bien de l'enfant, lequel est soumis, pendant sa minorité, à l’autorité parentale conjointe de ses père et mère (art. 296 al. 1 et 2 CC). Dans le cadre d’une procédure de divorce ou d’une procédure de protection de l’union conjugale, le juge confie à l’un des parents l’autorité parentale exclusive si le bien de l’enfant le commande (art. 298 al. 1 CC).</w:t>
      </w:r>
    </w:p>
    <w:p>
      <w:r>
        <w:t>Depuis la réforme du Code civil entrée en vigueur le 1er juillet 2014, l'autorité parentale conjointe est désormais la règle, indépendamment de l'état civil des parents (art. 296 al. 2, 298a al. 1, 298b al. 2 et 298d al. 1 CC; ATF 142 III 1 consid. 3.3 à 3.6).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w:t>
      </w:r>
    </w:p>
    <w:p>
      <w:r>
        <w:t>- 9/11 -</w:t>
      </w:r>
    </w:p>
    <w:p>
      <w:r>
        <w:t>C/12248/2017 autorité parentale exclusive préexistante (ATF 141 III 472 consid. 4.3 et 4.7; arrêt du Tribunal fédéral 5A_202/2015 du 26 novembre 2015 consid. 3.3).</w:t>
      </w:r>
    </w:p>
    <w:p>
      <w:r>
        <w:rPr>
          <w:b/>
        </w:rPr>
        <w:t>E. 4.2</w:t>
      </w:r>
    </w:p>
    <w:p>
      <w:r>
        <w:t>L'appelante soutient que l'absence de collaboration de son ex-époux dans l'accomplissement des démarches liées au renouvellement des passeports des enfants et aux formalités de voyage, est un fait nouveau important justifiant la modification du jugement de divorce, tout comme le fait que celui-ci n'exercerait plus son droit de visite ou négligerait le paiement de la pension.</w:t>
      </w:r>
    </w:p>
    <w:p>
      <w:r>
        <w:t>Tout d'abord, il sera rappelé que l'intérêt d'un enfant exige une certaine stabilité et en conséquence de ne pas modifier sa situation dans des délais rapprochés sans véritable nécessité. Or, dans le cas d'espèce, l'autorité parentale conjointe, convenue par les parties au moment du divorce, a été ordonnée par le Tribunal de Zurich le 15 février 2017 et la demande de sa modification a été déposée le 2 juin 2017 déjà, soit moins de quatre mois plus tard.</w:t>
      </w:r>
    </w:p>
    <w:p>
      <w:r>
        <w:t>Par ailleurs, les difficultés de communication et les tensions entre les époux ne sont pas des éléments nouveaux, dès lors qu'ils étaient déjà présents au moment du divorce.</w:t>
      </w:r>
    </w:p>
    <w:p>
      <w:r>
        <w:t>En tout état de cause, à teneur du dossier, les parents ne sont pas en litige concernant la scolarité, les soins ou les activités des deux garçons, lesquels apprécient les contacts avec leur père. Ce dernier a participé à la prise en charge thérapeutique du cadet et, selon le SEASP, l'exercice conjoint de l'autorité parentale est dans l'intérêt des enfants.</w:t>
      </w:r>
    </w:p>
    <w:p>
      <w:r>
        <w:t>Certes, l'intimé n'a pas spontanément collaboré aux démarches entreprises par l'appelante pour que les enfants puissent se rendre avec elle en Afrique du Sud pour les vacances, soit en particulier au renouvellement de leurs passeports. Rien n'indique toutefois que cela a eu des répercussions négatives sur les deux garçons. Ce désaccord s'explique en partie par le contexte - l'appelante ayant déplacé la résidence des enfants à deux reprises sans consulter son époux - et ne suffit pas pour exclure l'autorité parentale conjointe, ce d'autant que des conflits ponctuels peuvent au besoin être résolus par des mesures prises par l’autorité compétente (art. 307 al. 1 CC). Ce type de blocage doit pouvoir se résoudre entre les parties par la discussion, étant rappelé que les parents ont le devoir d'adopter un comportement coopératif, de faire les efforts de communication que l'on peut raisonnablement attendre d'eux et de tenir l'enfant à l'écart du conflit parental (ATF 142 III 1 consid. 3.4 p. 5; arrêts du Tribunal fédéral 5A_840/2016 du 30 janvier 2017 consid. 3.3.2 in fine; 5A_81/2016 du 2 mai 2016 consid. 5).</w:t>
      </w:r>
    </w:p>
    <w:p>
      <w:r>
        <w:t>Enfin, en tant que l'appelante se prévaut du fait que l'intimé n'exerce pas son droit de visite ou néglige de verser la contribution d'entretien en faveur de ses fils, elle oublie que de telles dissensions n'ont aucune pertinence s'agissant de l'attribution</w:t>
      </w:r>
    </w:p>
    <w:p>
      <w:r>
        <w:t>- 10/11 -</w:t>
      </w:r>
    </w:p>
    <w:p>
      <w:r>
        <w:t>C/12248/2017 de l'autorité parentale (arrêts du Tribunal fédéral 5A_455 du 12 avril 2017 consid. 5; 5A_22/2016 du 2 septembre 2016 consid. 5.2 et 5.3).</w:t>
      </w:r>
    </w:p>
    <w:p>
      <w:r>
        <w:t>Il résulte de ce qui précède que l'appelante ne se prévaut pas de faits nouveaux et importants au sens de l'art. 134 al. 1 CC. En tout état de cause, les critères permettant exceptionnellement d'attribuer l'autorité parentale exclusive ne sont pas réunis.</w:t>
      </w:r>
    </w:p>
    <w:p>
      <w:r>
        <w:rPr>
          <w:b/>
        </w:rPr>
        <w:t>E. 5</w:t>
      </w:r>
    </w:p>
    <w:p>
      <w:r>
        <w:t>Partant, l'appel, infondé, sera rejeté.</w:t>
      </w:r>
    </w:p>
    <w:p>
      <w:r>
        <w:rPr>
          <w:b/>
        </w:rPr>
        <w:t>E. 6</w:t>
      </w:r>
    </w:p>
    <w:p>
      <w:r>
        <w:t>Les frais judiciaires d'appel seront arrêtés à 1'250 fr. (art. 30 et 35, RTFMC) et mis à la charge de l'appelante, qui succombe (art. 106 al. 1 CPC). Ils seront compensés avec l'avance de frais de même montant fournie par celle-ci, qui reste acquise à l'Etat (art. 111 al. 1 CPC).</w:t>
      </w:r>
    </w:p>
    <w:p>
      <w:r>
        <w:t>Compte tenu de la nature familiale du litige, chaque partie supportera ses propres dépens (art. 107 al. 1 let. c CPC). * * * * *</w:t>
      </w:r>
    </w:p>
    <w:p>
      <w:r>
        <w:t>- 11/11 -</w:t>
      </w:r>
    </w:p>
    <w:p>
      <w:r>
        <w:t>C/12248/2017 PAR CES MOTIFS, La Chambre civile : A la forme : Déclare recevable l'appel interjeté le 27 juin 2018 par A______ contre le jugement JTPI/8198/2018 rendu le 24 mai 2018 par le Tribunal de première instance dans la cause C/12248/2017-5. Au fond : Confirme ce jugement. Déboute les parties de toutes autres conclusions. Sur les frais : Arrête les frais judiciaires d'appel à 1'250 fr., les met à la charge de A______ et les compense avec l'avance de frais de même montant fournie par celle-ci, qui demeure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