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ACJC/61/2024 vom 30. Januar 2024</w:t>
      </w:r>
    </w:p>
    <w:p>
      <w:r>
        <w:t>GE Cour de justice, 2024-01-30, FR</w:t>
      </w:r>
    </w:p>
    <w:p>
      <w:r>
        <w:rPr>
          <w:b/>
        </w:rPr>
        <w:t xml:space="preserve">Quelle: </w:t>
      </w:r>
      <w:r>
        <w:t>https://mcp.opencaselaw.ch/entscheid/ge_gerichte_ACJC_61_2024</w:t>
      </w:r>
    </w:p>
    <w:p>
      <w:r>
        <w:t>FR: GE_GERICHTE ACJC/61/2024 du 30 janvier 2024</w:t>
      </w:r>
    </w:p>
    <w:p>
      <w:r>
        <w:t>IT: GE_GERICHTE ACJC/61/2024 del 30 gennaio 2024</w:t>
      </w:r>
    </w:p>
    <w:p>
      <w:pPr>
        <w:pStyle w:val="Heading2"/>
      </w:pPr>
      <w:r>
        <w:t>Erwägungen</w:t>
      </w:r>
    </w:p>
    <w:p>
      <w:r>
        <w:rPr>
          <w:b/>
        </w:rPr>
        <w:t>E. 1.1</w:t>
      </w:r>
    </w:p>
    <w:p>
      <w:r>
        <w:t>Les décisions relatives aux avances de frais et aux sûretés peuvent faire l'objet d'un recours (art. 103 CPC). Le recours est en principe ouvert contre toutes les décisions visées par les art. 98 à 102 rendues par une juridiction cantonale inférieure. Il s'agit d'ordonnances d'instruction et non de décisions finales ou incidentes (TAPPY, Commentaire romand, Code de procédure civile, 2019, n° 3 et 4 ad art. 103 CPC). L'art. 103 CPC leur permet de faire l'objet d'un recours stricto sensu sans que la condition supplémentaire du préjudice difficilement réparable n'ait à être remplie (TAPPY, op. cit. n°4 et 11 ad art. 103 CPC). Ces décisions sont soumises au délai de recours de dix jours de l'art. 321 al. 2 CPC (art. 319 let. b ch. 1 CPC; TAPPY, op. cit. n°4 et 11 ad art. 103 CPC). En l'espèce, dans la mesure où l'art. 100 CPC a trait à la nature des sûretés en garantie des dépens et que tant la doctrine que la jurisprudence précisent la forme devant être prise par une telle garantie, la possibilité de recourir contre une décision constatant – implicitement ou non – sa validité doit être admise. C'est par conséquent à tort que les intimés soutiennent que le recours devrait être déclaré irrecevable. Le recours est recevable pour avoir été formé dans le délai utile (art. 142 al. 1, 319 let. b ch. 1et 321 al. 2 CPC) et selon la forme prescrite par la loi (art. 130, 131 et 321 al. 1 CPC).</w:t>
      </w:r>
    </w:p>
    <w:p>
      <w:r>
        <w:rPr>
          <w:b/>
        </w:rPr>
        <w:t>E. 1.2</w:t>
      </w:r>
    </w:p>
    <w:p>
      <w:r>
        <w:t>Le recours peut être formé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2, 2010, n°2307). La nature du procès en constitution de sûretés, qui intervient pendant la litispendance et a généralement pour conséquence de paralyser l'avancement de l'instruction au fond, commande de lui appliquer la procédure sommaire, par définition rapide, au moins par analogie, bien que ce cas ne soit pas expressément prévu par la loi (TAPPY, op. cit., n. 13 ad art. 101 CPC et les références citées; ACJCJ/1373/2022 du 18 octobre 2022 consid. 2 ACJC/1621/2018 du 20 novembre 2018 consid. 1.2).</w:t>
      </w:r>
    </w:p>
    <w:p>
      <w:r>
        <w:t>- 6/10 -</w:t>
      </w:r>
    </w:p>
    <w:p>
      <w:r>
        <w:t>C/17589/2022</w:t>
      </w:r>
    </w:p>
    <w:p>
      <w:r>
        <w:rPr>
          <w:b/>
        </w:rPr>
        <w:t>E. 2</w:t>
      </w:r>
    </w:p>
    <w:p>
      <w:r>
        <w:t>Les conclusions, allégations de faits et preuves nouvelles sont irrecevables dans le cadre d'un recours (art. 326 al. 1 CPC). Les allégués nouveaux des parties, de même que les pièces nouvelles produites par elles, sont en conséquence irrecevables.</w:t>
      </w:r>
    </w:p>
    <w:p>
      <w:r>
        <w:rPr>
          <w:b/>
        </w:rPr>
        <w:t>E. 3</w:t>
      </w:r>
    </w:p>
    <w:p>
      <w:r>
        <w:t>La recourante se plaint d'une violation des art. 99 et 100 CPC, le Tribunal ayant selon elle considéré à tort que la garantie fournie par les intimés était valable, au sens de ces dispositions.</w:t>
      </w:r>
    </w:p>
    <w:p>
      <w:r>
        <w:rPr>
          <w:b/>
        </w:rPr>
        <w:t>E. 3.1.1</w:t>
      </w:r>
    </w:p>
    <w:p>
      <w:r>
        <w:t>Les sûretés en garantie des dépens doivent être fournies sur requête du défendeur dans les hypothèses prévues par l'art. 99 al. 1 CPC, notamment par le demandeur qui n'a pas de domicile en Suisse (art. 99 al. 1 let. a CPC). Les sûretés doivent en principe couvrir les dépens présumés que le demandeur aurait à verser au défendeur s'il succombe. Il s'agit de tous les dépens envisagés à l'art. 95 al. 3 CPC.</w:t>
      </w:r>
    </w:p>
    <w:p>
      <w:r>
        <w:rPr>
          <w:b/>
        </w:rPr>
        <w:t>E. 3.1.2</w:t>
      </w:r>
    </w:p>
    <w:p>
      <w:r>
        <w:t>En l'espèce, les parties ne remettent en cause ni le principe des sûretés ordonnées par le premier juge, ni le montant de celles-ci, arrêté à 380'723 fr. 27. Seule est remise en cause par la recourante la validité de la garantie produite par les intimés.</w:t>
      </w:r>
    </w:p>
    <w:p>
      <w:r>
        <w:rPr>
          <w:b/>
        </w:rPr>
        <w:t>E. 3.2.1</w:t>
      </w:r>
    </w:p>
    <w:p>
      <w:r>
        <w:t>Selon l'art. 100 al. 1 CPC, les sûretés peuvent être fournies en espèces ou sous forme de garantie d'une banque établie en Suisse ou d'une société d'assurance autorisée à exercer en Suisse. Cette disposition règle la nature des sûretés en garantie des dépens au sens de l'art. 99 CPC, en précisant les différentes manières dont elles peuvent être fournies. L'énumération qui y est contenue est exhaustive (STOUDMANN, Petit commentaire, Code de procédure civile, 2020, n°1 ad art. 100 CPC et les références). La garantie visée par l'art. 100 al. 1 CPC se traduit comme une promesse par laquelle le garant promet d'assumer, à l'égard du créancier des sûretés, le rôle de débiteur de la prestation due par le demandeur astreint à la fourniture de sûretés. La garantie doit être illimitée dans le temps, irrévocable et inconditionnelle. Le fournisseur de la garantie ne doit pouvoir opposer aucune exception tirée de ses relations avec le demandeur. Un cautionnement n'est pas suffisant (STOUDMANN, op. cit., n°4 ad art. 100 CPC).</w:t>
      </w:r>
    </w:p>
    <w:p>
      <w:r>
        <w:t>- 7/10 -</w:t>
      </w:r>
    </w:p>
    <w:p>
      <w:r>
        <w:t>C/17589/2022 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(ATF 121 I 108 consid. 2, in JdT 1996 I p. 86; TAPPY, op. cit., n. 3 ad art. 99 CPC; SUTER/VON HOLZEN, in Kommentar zur Schweizerischen Zivilprozessordnung [ZPO], op. cit., n. 2 ad art. 99 CPC).</w:t>
      </w:r>
    </w:p>
    <w:p>
      <w:r>
        <w:rPr>
          <w:b/>
        </w:rPr>
        <w:t>E. 3.2.2</w:t>
      </w:r>
    </w:p>
    <w:p>
      <w:r>
        <w:t>En l'espèce, la recourante soutient que la garantie fournie par les intimés ne serait pas valable, faute pour celle-ci de satisfaire aux exigences légales et jurisprudentielles y relatives. La recourante se contente cependant pour l'essentiel de formuler des critiques quant au texte même de la garantie, sans pour autant démontrer en quoi la garantie émise ne lui apporterait pas la protection recherchée, soit l'assurance de pouvoir obtenir le paiement des dépens que les intimés pourraient être condamnés à lui verser à l'issue de la procédure. C'est à tort que les intimés soutiennent que la loi et la jurisprudence seraient muettes sur le libellé que devrait revêtir une telle garantie. Cela étant, les exigences requises sont peu nombreuses et toutes réalisées dans le cas d'espèce. Ainsi, la garantie a été fournie par une banque dûment établie en Suisse, ce qui n'est au demeurant pas contesté. Il ressort par ailleurs du texte même de la garantie que celle-ci est inconditionnelle, irrévocable, payable à première demande et qu'elle consacre l'engagement de la banque – qui renonce à tous droits d'objection et de défense qu'elle pourrait faire valoir – de payer à la place des intimés les éventuels dépens qui pourraient être mis à leur charge dans le cadre de la procédure, à concurrence d'un montant maximal correspondant au montant des sûretés ordonnées, soit 380'723 fr. 27. S'agissant plus particulièrement de l'exigence d'un caractère illimité dans le temps de la garantie, dans la mesure où celle-ci porte sans restriction sur la totalité de la durée de la procédure et même au-delà de l'achèvement de celle-ci, il y a lieu de retenir qu'elle satisfait à cette exigence, nonobstant la mention selon laquelle l'engagement resterait valable au maximum durant un an suivant la fin de la procédure opposant les parties ou jusqu'à décision définitive et exécutoire libérant les intimés de ladite garantie. En tout état, dans la mesure où la garantie produite apporte effectivement à la recourante la protection recherchée, soit celle de pouvoir obtenir le remboursement de ses frais de procès en cas de succès, la recourante ne rendant pas vraisemblable le contraire, il n'est pas nécessaire d'examiner en détail chacun des griefs d'ordre rédactionnel qu'elle formule à l'encontre du texte de la garantie, à propos duquel elle ne dispose d'aucune prétention à faire valoir.</w:t>
      </w:r>
    </w:p>
    <w:p>
      <w:r>
        <w:t>- 8/10 -</w:t>
      </w:r>
    </w:p>
    <w:p>
      <w:r>
        <w:t>C/17589/2022</w:t>
      </w:r>
    </w:p>
    <w:p>
      <w:r>
        <w:rPr>
          <w:b/>
        </w:rPr>
        <w:t>E. 3.3</w:t>
      </w:r>
    </w:p>
    <w:p>
      <w:r>
        <w:t>Infondé et à la limite de la témérité, le recours sera rejeté. La Cour impartira elle-même à la recourante le délai dans lequel son mémoire de réponse devra être déposé.</w:t>
      </w:r>
    </w:p>
    <w:p>
      <w:r>
        <w:rPr>
          <w:b/>
        </w:rPr>
        <w:t>E. 4</w:t>
      </w:r>
    </w:p>
    <w:p>
      <w:r>
        <w:t>Les frais judiciaires du recours, comprenant ceux des arrêts sur effet suspensif des 24 octobre et 6 novembre 2023, seront arrêtés à 2'000 fr. (art. 21 et 41 RTFMC) et mis à la charge de la recourante qui succombe (art. 106 al. 1 CPC). Ils seront partiellement compensés à concurrence de 1'200 fr. avec l'avance de frais effectuée par celle-ci, laquelle demeure acquise à l'Etat de Genève (art. 111 al. 1 CPC). La recourante sera, par conséquent, condamnée à verser la somme de 800 fr. à l'Etat de Genève, soit pour lui les Services financiers du Pouvoir judiciaire, au titre de solde des frais judiciaires de recours. La recourante versera aux intimés, solidairement entre eux, 1'500 fr., débours inclus, mais sans la TVA puisque ces derniers ont leur domicile, respectivement leur siège, à l'étranger (arrêt du Tribunal fédéral 4A_623/2015 du 3 mars 2015) à titre de dépens de recours. * * * * *</w:t>
      </w:r>
    </w:p>
    <w:p>
      <w:r>
        <w:t>- 9/10 -</w:t>
      </w:r>
    </w:p>
    <w:p>
      <w:r>
        <w:t>C/17589/2022 PAR CES MOTIFS, La Chambre civile : A la forme : Déclare recevable le recours déposé le 16 octobre 2023 par A______ contre l'ordonnance rendue le 3 octobre 2023 par le Tribunal de première instance dans la cause C/17589/2022. Au fond : Le rejette. Déboute les parties de toutes autres conclusions. Cela fait : Fixe nouvellement au 29 février 2024 le délai imparti par le Tribunal à A______ pour répondre à la demande en paiement. Sur les frais : Arrête les frais judiciaires de recours à 2'000 fr. Les met à la charge de A______ et dit qu'ils sont compensés à concurrence de 1'200 fr. avec l'avance de frais déjà opérée par elle, qui reste acquise à l'Etat de Genève. Condamne A______ à verser la somme de 800 fr. à l'Etat de Genève, soit pour lui les Services financiers du Pouvoir judiciaire, à titre de solde des frais judiciaires de recours. Condamne A______ à verser la somme de 1'500 fr. à B______, C______, D______ et E______ CO, solidairement entre eux. Siégeant : Madame Jocelyne DEVILLE-CHAVANNE, présidente; Madame Verena PEDRAZZINI RIZZI, Madame Nathalie LANDRY-BARTHE, juges; Madame Sandra CARRIER, greffière. La Présidente : Jocelyne DEVILLE-CHAVANNE</w:t>
      </w:r>
    </w:p>
    <w:p>
      <w:r>
        <w:t>La greffière : Sandra CARRIER</w:t>
      </w:r>
    </w:p>
    <w:p>
      <w:r>
        <w:t>- 10/10 -</w:t>
      </w:r>
    </w:p>
    <w:p>
      <w:r>
        <w:t>C/17589/2022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la mesure de l'art. 93 al. 1 let. a CPC, les moyens étant limités en application de l'art. 98 LTF (cf. arrêt du Tribunal fédéral 5A_757/2010 du 20 avril 2011 consid. 1.2 et 1.3).</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