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ACJC/617/2016 vom 26. Januar 2016</w:t>
      </w:r>
    </w:p>
    <w:p>
      <w:r>
        <w:t>GE Cour de justice, 2016-01-26, FR</w:t>
      </w:r>
    </w:p>
    <w:p>
      <w:r>
        <w:rPr>
          <w:b/>
        </w:rPr>
        <w:t xml:space="preserve">Quelle: </w:t>
      </w:r>
      <w:r>
        <w:t>https://mcp.opencaselaw.ch/entscheid/ge_gerichte_ACJC_617_2016</w:t>
      </w:r>
    </w:p>
    <w:p>
      <w:r>
        <w:t>FR: GE_GERICHTE ACJC/617/2016 du 26 janvier 2016</w:t>
      </w:r>
    </w:p>
    <w:p>
      <w:r>
        <w:t>IT: GE_GERICHTE ACJC/617/2016 del 26 gennaio 2016</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321 al. 1 CPC), adressé à la Cour de justice. Interjeté dans le délai et les formes prévus par la loi, le recours, émanant d'un justiciable procédant en personne, est en l'espèce recevable, en dépit de l'absence de conclusions précises, puisqu'il peut être compris que la recourant entend obtenir l'annulation de la décision attaquée et l'accueil de sa requête de mainlevée provisoire, au vu des pièces produites.</w:t>
      </w:r>
    </w:p>
    <w:p>
      <w:r>
        <w:rPr>
          <w:b/>
        </w:rPr>
        <w:t>E. 2</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3</w:t>
      </w:r>
    </w:p>
    <w:p>
      <w:r>
        <w:t>La recourante reproche au Tribunal d'avoir retenu qu'elle n'avait pas produit de titre valant reconnaissance de dette; elle soutient que les factures et bulletins de livraison signés qu'elle a joints à sa requête représentent un tel titre.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w:t>
      </w:r>
    </w:p>
    <w:p>
      <w:r>
        <w:t>- 4/6 -</w:t>
      </w:r>
    </w:p>
    <w:p>
      <w:r>
        <w:t>C/23785/2015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t>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rPr>
          <w:b/>
        </w:rPr>
        <w:t>E. 3.2</w:t>
      </w:r>
    </w:p>
    <w:p>
      <w:r>
        <w:t>En l'espèce, la recourante a fourni à l'appui de sa requête, outre deux factures adressées à l'intimée, deux copies carbone de bulletins de livraison relatifs à celles-ci, lesquelles comportent chacune une signature originale, contrairement à ce qu'a retenu le premier juge. L'une de ces signatures a été apposée en regard de la rubrique "signature du client", tandis que l'autre figure dans la rubrique "signature du vendeur", sans que l'on puisse à ce stade exclure qu'elle ait été portée par mégarde à cet emplacement; il n'est ainsi pas invraisemblable que les bulletins de livraison produits aient été signés par le destinataire de la marchandise.</w:t>
      </w:r>
    </w:p>
    <w:p>
      <w:r>
        <w:t>- 5/6 -</w:t>
      </w:r>
    </w:p>
    <w:p>
      <w:r>
        <w:t>C/23785/2015 A supposer que tel soit le cas, le rapprochement des pièces précitées pourrait permettre de retenir l'existence d'un titre valant reconnaissance de dettes. La requête n'est ainsi pas manifestement mal fondée, de sorte que le premier juge devait la communiquer à l'intimée, avec les pièces annexées, et recueillir les conclusions de celle-ci avant de statuer.</w:t>
      </w:r>
    </w:p>
    <w:p>
      <w:r>
        <w:t>Il s'ensuit que la décision attaquée sera annulée. La cause n'étant pas en état d'être jugée, elle sera renvoyée au Tribunal, qui donnera à l'intimée l'occasion de se déterminer oralement ou par écrit, en application de l'art. 253 CPC, puis rendra une nouvelle décision.</w:t>
      </w:r>
    </w:p>
    <w:p>
      <w:r>
        <w:rPr>
          <w:b/>
        </w:rPr>
        <w:t>E. 4</w:t>
      </w:r>
    </w:p>
    <w:p>
      <w:r>
        <w:t>Les frais du recours seront arrêtés à 450 fr. (art. 48, 61 OELP), et laissés à la charge de l'Etat (art. 107 al. 2 CPC). L'avance opérée par la recourante lui sera restituée.</w:t>
      </w:r>
    </w:p>
    <w:p>
      <w:r>
        <w:t>Il n'y a pas lieu à allocation de dépens (art. 95 al. 3 let. c CPC). * * * * *</w:t>
      </w:r>
    </w:p>
    <w:p>
      <w:r>
        <w:t>- 6/6 -</w:t>
      </w:r>
    </w:p>
    <w:p>
      <w:r>
        <w:t>C/23785/2015 PAR CES MOTIFS, La Chambre civile : A la forme : Déclare recevable le recours formé le 10 février 2016 par A______ SA contre le jugement JTPI/1003/2016 rendu le 26 janvier 2016 par le Tribunal de première instance dans la cause C/23785/2015-7 SML. Au fond : Annule ce jugement. Renvoie la cause au Tribunal de première instance pour instruction et nouvelle décision. Sur les frais : Arrête les frais judiciaires du recours à 450 fr. et les met à la charge de l'Etat de Genève. Ordonne aux Services financiers du Pouvoir judiciaire de restituer 450 fr. à A______ SA.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