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ACJC/616/2020 vom 2. Juni 2020</w:t>
      </w:r>
    </w:p>
    <w:p>
      <w:r>
        <w:t>GE Cour de justice, 2020-06-02, FR</w:t>
      </w:r>
    </w:p>
    <w:p>
      <w:r>
        <w:rPr>
          <w:b/>
        </w:rPr>
        <w:t xml:space="preserve">Quelle: </w:t>
      </w:r>
      <w:r>
        <w:t>https://mcp.opencaselaw.ch/entscheid/ge_gerichte_ACJC_616_2020</w:t>
      </w:r>
    </w:p>
    <w:p>
      <w:r>
        <w:t>FR: GE_GERICHTE ACJC/616/2020 du 2 juin 2020</w:t>
      </w:r>
    </w:p>
    <w:p>
      <w:r>
        <w:t>IT: GE_GERICHTE ACJC/616/2020 del 2 giugno 2020</w:t>
      </w:r>
    </w:p>
    <w:p>
      <w:pPr>
        <w:pStyle w:val="Heading2"/>
      </w:pPr>
      <w:r>
        <w:t>Erwägungen</w:t>
      </w:r>
    </w:p>
    <w:p>
      <w:r>
        <w:rPr>
          <w:b/>
        </w:rPr>
        <w:t>E. 1</w:t>
      </w:r>
    </w:p>
    <w:p>
      <w:r>
        <w:t>let. b CPC (ATF 137 III 475 consid. 4.1) – dans les causes non patrimoniales ou dont la valeur litigieuse au dernier état des conclusions devant l'autorité inférieure est supérieure à 10'000 fr. (art. 308 al. 2 CPC). Un litige portant sur le montant de la contribution à l'entretien de l'épouse est de nature pécuniaire (ATF 133 III 393 consid. 2; arrêt du Tribunal fédéral 5A_42/2013 du 27 juin 2013 consid. 1.1). La capitalisation du montant de la contribution d'entretien restée litigieuse au vu des dernières conclusions des parties devant le premier juge excède 10'000 fr. (1'200 fr. x 12 x 20, selon l'art. 92 al. 2 CPC), de sorte que la voie de l'appel est ouverte.</w:t>
      </w:r>
    </w:p>
    <w:p>
      <w:r>
        <w:rPr>
          <w:b/>
        </w:rPr>
        <w:t>E. 1.1</w:t>
      </w:r>
    </w:p>
    <w:p>
      <w:r>
        <w:t>L'appel est recevable contre les jugements de mesures protectrices – qui doivent être considérés comme des décisions provisionnelles au sens de l'art. 308 al.</w:t>
      </w:r>
    </w:p>
    <w:p>
      <w:r>
        <w:rPr>
          <w:b/>
        </w:rPr>
        <w:t>E. 1.2</w:t>
      </w:r>
    </w:p>
    <w:p>
      <w:r>
        <w:t>Interjeté dans le délai de dix jours (art. 142 al. 3, 248 let. d, 271 et 314 al. 1 CPC) et selon la forme prescrite par la loi (art. 130, 131, 252 et 311 CPC), l'appel est recevable.</w:t>
      </w:r>
    </w:p>
    <w:p>
      <w:r>
        <w:rPr>
          <w:b/>
        </w:rPr>
        <w:t>E. 1.3</w:t>
      </w:r>
    </w:p>
    <w:p>
      <w:r>
        <w:t>La Cour revoit la cause avec un plein pouvoir d'examen (art. 310 CPC) dans la limite des griefs suffisamment motivés qui sont formulés (arrêts du Tribunal fédéral 4A_290/2014 du 1er septembre 2014 consid. 5; 5A_89/2014 du 15 avril 2014 consid. 5.3.2).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En matière de mesures protectrices de l'union conjugale, le juge établit les faits d'office (art. 272 CPC). L'art. 272 CPC ne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 En effet, la maxime inquisitoire sociale ne dispense pas les parties de collaborer activement à la procédure : il leur incombe de renseigner le juge sur les faits de la cause et de lui indiquer les moyens de preuve disponibles (arrêt du Tribunal fédéral 5A_608/2014 du 16 décembre 2014 consid. 4.2 et les références citées).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2</w:t>
      </w:r>
    </w:p>
    <w:p>
      <w:r>
        <w:t>Les époux étant de nationalités camerounaise et sénégalaise, le litige présente un élément d'extranéité.</w:t>
      </w:r>
    </w:p>
    <w:p>
      <w:r>
        <w:t>- 6/12 -</w:t>
      </w:r>
    </w:p>
    <w:p>
      <w:r>
        <w:t>C/16131/2019 Au vu du domicile genevois des parties, la Cour est compétente pour statuer sur la contribution due à l'entretien de l'épouse, seul point litigieux en appel (art. 46 LDIP). Le droit suisse est applicable (art. 49 LDIP et art. 4 de la Convention de La Haye du 2 octobre 1973 sur la loi applicable aux obligations alimentaires).</w:t>
      </w:r>
    </w:p>
    <w:p>
      <w:r>
        <w:rPr>
          <w:b/>
        </w:rPr>
        <w:t>E. 3</w:t>
      </w:r>
    </w:p>
    <w:p>
      <w:r>
        <w:t>L'intimée a produit des pièces nouvelles devant la Cour.</w:t>
      </w:r>
    </w:p>
    <w:p>
      <w:r>
        <w:rPr>
          <w:b/>
        </w:rPr>
        <w:t>E. 3.1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L'art. 317 al. 1 CPC prévaut sans restriction lorsque la procédure est soumise à la maxime inquisitoire sociale (TAPPY, in CR CPC, 2ème éd. 2019, n. 9a ad art. 317 CPC et les références citées).</w:t>
      </w:r>
    </w:p>
    <w:p>
      <w:r>
        <w:rPr>
          <w:b/>
        </w:rPr>
        <w:t>E. 3.2</w:t>
      </w:r>
    </w:p>
    <w:p>
      <w:r>
        <w:t>En l'espèce, les pièces nouvelles datant de 2017 et 2018 sont irrecevables faute d'avoir été produites en temps utile. Il en va de même de la fiche d'engagement datée du 16 juillet 2019, des décomptes de l'Hospice général et des fiches de salaire pour les mois de septembre et octobre 2019, l'intimée n'exposant pas en quoi elle aurait été empêchée de les produire en première instance. L'attestation du foyer J______ du 25 novembre 2019, bien qu'établie après que le Tribunal ait gardé la cause à juger, est également irrecevable, dans la mesure où elle concerne des faits survenus en septembre 2019. Sont en revanche recevables le courrier de la K______ du 2 décembre 2019, le décompte locataire du 7 janvier 2020, la quittance de loyer de janvier 2020, ainsi que le contrat de formation du 16 décembre 2019.</w:t>
      </w:r>
    </w:p>
    <w:p>
      <w:r>
        <w:t>- 7/12 -</w:t>
      </w:r>
    </w:p>
    <w:p>
      <w:r>
        <w:t>C/16131/2019</w:t>
      </w:r>
    </w:p>
    <w:p>
      <w:r>
        <w:rPr>
          <w:b/>
        </w:rPr>
        <w:t>E. 4</w:t>
      </w:r>
    </w:p>
    <w:p>
      <w:r>
        <w:t>L'appelant fait grief au Tribunal de l'avoir condamné à contribuer à l'entretien de son épouse en dépit de la brièveté de l'union conjugale et de l'absence d'enfants communs. Selon lui, le principe du clean break devrait s'appliquer dès la séparation des parties et non seulement dès le prononcé du divorce, aucun des époux n'ayant l'intention de reprendre la vie commune. Il fait en outre valoir que la contribution d'entretien querellée porte atteinte à son minimum vital, certaines de ses charges ayant été écartées à tort (pensions alimentaires versées à ses enfants au Sénégal; remboursement de la dette de 32'000 fr. contractée, selon lui, pour permettre à la famille de trouver un logement plus grand) et ses frais de logement ayant été sous-évalués. En tout état, l'on pouvait exiger de l'intimée qu'elle travaille à 50% de façon à couvrir ses propres charges, étant relevé que son loyer – fixé en fonction des revenus du groupe familial – ne manquerait pas de baisser compte tenu de la séparation des parties. 4.1.1 En cas de suspension de la vie commune,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Le juge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arrêts du Tribunal fédéral 5A_904/2015 du 29 septembre 2016 consid. 5.1; 5A_651/2011 du 26 avril 2012 consid. 6.1.3.2 non publié in ATF 138 III 374). Le principe et le montant de la contribution d'entretien due selon l'art. 176 al. 1 ch. 1 CC se déterminent en fonction des facultés économiques et des besoins respectifs des époux. Tant que dure le mariage, les époux doivent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La loi n'impose pas de méthode de calcul particulière pour arrêter le montant de la contribution d'entretien (ATF 140 III 337 consid. 4.2.2; 128 III 411</w:t>
      </w:r>
    </w:p>
    <w:p>
      <w:r>
        <w:t>- 8/12 -</w:t>
      </w:r>
    </w:p>
    <w:p>
      <w:r>
        <w:t>C/16131/2019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L'une des méthodes de calcul tant que dure le mariage (art. 176 al. 1 ch. 1 CC en relation avec l'art. 163 al. 1 CC) est celle dite du minimum vital, avec répartition de l'excédent (arrêts du Tribunal fédéral 5A_970/2017 du 7 juin 2018 consid. 4.2; 5A_860/2013 du 29 janvier 2014 consid. 4.1; 5A_547/2012 du 14 mars 2013 consid. 4.1).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 Les charges des époux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 maladie) (BASTONS BULLETTI, op. cit., p. 90 et 91). Seules les charges effectives, dont le débirentier s'acquitte réellement, doivent être prises en compte (ATF 121 III 20 consid. 3a; arrêt du Tribunal fédéral 5A_65/2013 du 4 septembre 2013 consid. 3.2.1 et les références citées). Les dettes, qui cèdent le pas aux obligations d'entretien, ne font pas partie du minimum vital du droit des poursuites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2.3.1). L'aide sociale, qui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w:t>
      </w:r>
    </w:p>
    <w:p>
      <w:r>
        <w:t>- 9/12 -</w:t>
      </w:r>
    </w:p>
    <w:p>
      <w:r>
        <w:t>C/16131/2019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4.1.3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5A_662/2013 du 24 juin 2014 consid. 3.2.2 et les références).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Selon la jurisprudence récente du Tribunal fédéral, il ne peut être exigé d'un parent qu'il exerce une activité lucrative à temps complet avant que l'enfant dont il a la garde ait atteint l'âge de 16 ans révolus. L'on peut néanmoins attendre de lui qu'il recommence à travailler, en principe, à 50% dès l'entrée du plus jeune enfant à l'école obligatoire, et à 80% à partir du moment où celui-ci débute le degré secondaire. Ces lignes directrices ne sont toutefois pas des règles strictes et leur application dépend du cas concret (ATF 144 III 481 consid. 4.5, 4.6, 4.7.6 et 4.7.9). 4.2.1 En l'espèce, contrairement à ce que plaide l'appelant, la brièveté de l'union conjugale et l'absence d'enfants communs ne sont pas des critères pertinents pour statuer sur la contribution d'entretien sollicitée par l'intimée. En effet, il n'appartient pas au juge des mesures protectrices de se prononcer sur l'influence du mariage sur la situation financière des parties. Ainsi, bien qu'on ne puisse vraisemblablement plus compter sur une reprise de la vie commune, les parties restent tenues de participer, chacune selon ses facultés, aux frais supplémentaires qu'engendre la vie séparée. A juste titre, celles-ci ne contestent pas l'application de la méthode du minimum vital pour fixer la contribution due à l'entretien de l'intimée, eu égard à leur situation financière respective.</w:t>
      </w:r>
    </w:p>
    <w:p>
      <w:r>
        <w:t>- 10/12 -</w:t>
      </w:r>
    </w:p>
    <w:p>
      <w:r>
        <w:t>C/16131/2019 Les charges de l'appelant ont été retenues par le Tribunal à hauteur de 2'687 fr. 55 (1'000 fr. de loyer, 333 fr. d'assurance-maladie, 42 fr. 90 de frais médicaux non remboursés, 41 fr. 65 de frais de formation, 70 fr. de frais de transport et 1'200 fr. de base OP). Il n'y a pas lieu de comptabiliser des frais de logement supérieurs à ceux retenus par le premier juge, un montant de 1'000 fr. étant suffisant pour permettre à l'intéressé – qui vit seul – de louer un studio, voire un logement de 2 pièces; cela se justifie d'autant moins que l'appelant, qui indique avoir été hébergé par des amis (mémoire d'appel, p. 7), n'établit pas assumer le paiement d'un loyer. Avec raison, le premier juge a écarté la dette que l'appelant allègue avoir contractée à hauteur de 32'000 fr. Outre que ni l'existence de cette dette ni son remboursement effectif n'ont été rendus vraisemblables (le seul document produit à cet égard n'étant ni daté ni signé), aucun élément au dossier ne permet de retenir que cet emprunt aurait été contracté avant la fin du ménage commun aux fins de l'entretien des deux époux, ni que ceux-ci en répondraient solidairement. C'est également à juste titre que le premier juge n'a pas tenu compte des pensions alimentaires que l'appelant allègue verser à ses enfants au Sénégal. L'époux n'a, en effet, fourni aucune indication sur les besoins financiers de ses enfants, dont il n'a pas même spécifié l'identité et la date de naissance. Le versement régulier de ces pensions n'a pas non plus été rendu vraisemblable, l'appelant s'étant limité à produire deux ordres de transfert d'argent (le troisième étant illisible) émis après le dépôt de la requête de mesures protectrices, sans que l'on puisse vérifier l'affectation des fonds ainsi transférés. Finalement, l'appelant allègue assumer des frais de déplacement de 315 fr. par mois pour se rendre à ______ (VD) où il suit sa formation à la H______. Outre que ces frais n'ont pas été évoqués en première instance, l'époux ne fournit aucune pièce propre à étayer la régularité d'une telle dépense, de sorte qu'il n'en sera pas tenu compte. Le jugement attaqué a retenu que l'appelant réalisait des revenus mensuels nets de quelque 4'500 fr., alors que l'époux avait déclaré percevoir un salaire net oscillant entre 5'000 fr. et 5'200 fr. par mois. En comptabilisant son 13ème salaire, l'on peut retenir que l'époux perçoit un salaire net mensualisé de 4'800 fr. (env. 4'400 fr. x 13 : 12) au minimum. Après couverture de ses charges, l'appelant bénéficie ainsi d'un solde disponible de l'ordre de 2'100 fr. De son côté, l'intimée perçoit, en moyenne, un salaire mensuel net de 1'100 fr., lequel fluctue en fonction des remplacements effectués. En travaillant à 50% – comme le plaide l'appelant (le fils cadet de l'intimée, âgé de 9 ans, n'ayant pas débuté le degré secondaire) –, l'intimée pourrait réaliser un salaire net de l'ordre de 1'650 fr. par mois (20 heures par semaine au tarif horaire de 22 fr. 32 [vacances incluses; cf. salaires globaux 2019 annexés à la CCT de nettoyage pour la Suisse romande] x 4.33 semaines = 1'933 fr., dont à déduire les charges sociales et l'impôt à la source). Or, un tel revenu ne lui permet pas de couvrir ses charges – retenues par le Tribunal à hauteur de 3'589 fr. 75 (1'742 fr. 95 de loyer, 576 fr. 80</w:t>
      </w:r>
    </w:p>
    <w:p>
      <w:r>
        <w:t>- 11/12 -</w:t>
      </w:r>
    </w:p>
    <w:p>
      <w:r>
        <w:t>C/16131/2019 d'assurance-maladie, 70 fr. de frais de transport et 1'200 fr. de base OP). Sans tenir compte des besoins financiers de son fils mineur qui vit auprès d'elle, l'intimée fait ainsi face à un déficit de l'ordre de 1'940 fr. par mois, respectivement de 1'200 fr. en tenant compte d'un loyer diminué à 1'000 fr. par mois (soit le loyer dont l'épouse s'acquittait avant le mariage). 4.2.2 Au vu des ressources respectives des parties, du déficit de l'intimée et du solde disponible de l'appelant, le Tribunal a correctement usé de son large pouvoir d'appréciation en fixant la contribution en faveur de l'épouse à 1'200 fr. par mois. Par conséquent, le chiffre 3 du dispositif du jugement attaqué sera confirmé, le dies a quo de la contribution n'étant pas remis en cause en appel.</w:t>
      </w:r>
    </w:p>
    <w:p>
      <w:r>
        <w:rPr>
          <w:b/>
        </w:rPr>
        <w:t>E. 4.3</w:t>
      </w:r>
    </w:p>
    <w:p>
      <w:r>
        <w:t>La quotité et la répartition des frais de première instance ont été arrêtés conformément aux règles légales applicables (art. 106 al. 1 et 107 al. 1 let. c CPC; art. 31 RTFMC) et l'appelant n'a soulevé aucun grief motivé sur ce point. Les chiffres 5 et 6 du dispositif du jugement attaqué seront donc également confirmés.</w:t>
      </w:r>
    </w:p>
    <w:p>
      <w:r>
        <w:rPr>
          <w:b/>
        </w:rPr>
        <w:t>E. 5</w:t>
      </w:r>
    </w:p>
    <w:p>
      <w:r>
        <w:t>Les frais judiciaires d'appel seront fixés à 800 fr. (art. 31 et 37 RTFMC), mis à la charge de l'appelant, qui succombe, et compensés avec l'avance versée par celui- ci, qui reste acquise à l'Etat de Genève (art. 106 al. 1 et 111 al. 1 CPC). Compte tenu de la nature familiale du litige, chaque partie supportera ses propres dépens d'appel (art. 107 al. 1 let. c CPC).</w:t>
      </w:r>
    </w:p>
    <w:p>
      <w:r>
        <w:rPr>
          <w:b/>
        </w:rPr>
        <w:t>E. 6</w:t>
      </w:r>
    </w:p>
    <w:p>
      <w:r>
        <w:t>Le présent arrêt, qui statue sur mesures provisionnelles, est susceptible d'un recours en matière civile, les moyens étant limités en application de l'art. 98 LTF.</w:t>
      </w:r>
    </w:p>
    <w:p>
      <w:r>
        <w:t>* * * * *</w:t>
      </w:r>
    </w:p>
    <w:p>
      <w:r>
        <w:t>- 12/12 -</w:t>
      </w:r>
    </w:p>
    <w:p>
      <w:r>
        <w:t>C/16131/2019 PAR CES MOTIFS, La Chambre civile : A la forme : Déclare recevable l'appel interjeté le 16 décembre 2019 par A______ contre les chiffres 3, 5 et 6 du dispositif du jugement JTPI/17321/2019 rendu le 2 décembre 2019 par le Tribunal de première instance dans la cause C/16131/2019-13. Au fond : Confirme le jugement attaqué. Déboute les parties de toutes autres conclusions. Sur les frais : Arrête les frais judiciaires d'appel à 800 fr., les met à la charge de A______ et les compense avec l'avance versée, qui reste acquise à l'Etat de Genève. Dit que chaque partie supporte ses propres dépens d'appel. Siégeant : Monsieur Ivo BUETTI, président; Madame Nathalie RAPP et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