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ACJC/614/2020 vom 26. Mai 2020</w:t>
      </w:r>
    </w:p>
    <w:p>
      <w:r>
        <w:t>GE Cour de justice, 2020-05-26, FR</w:t>
      </w:r>
    </w:p>
    <w:p>
      <w:r>
        <w:rPr>
          <w:b/>
        </w:rPr>
        <w:t xml:space="preserve">Quelle: </w:t>
      </w:r>
      <w:r>
        <w:t>https://mcp.opencaselaw.ch/entscheid/ge_gerichte_ACJC_614_2020</w:t>
      </w:r>
    </w:p>
    <w:p>
      <w:r>
        <w:t>FR: GE_GERICHTE ACJC/614/2020 du 26 mai 2020</w:t>
      </w:r>
    </w:p>
    <w:p>
      <w:r>
        <w:t>IT: GE_GERICHTE ACJC/614/2020 del 26 maggio 2020</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 Dès lors qu'en l'espèce le montant litigieux est supérieur à 10'000 fr., la voie de l'appel est ouverte. Interjeté dans le délai et selon la forme prescrits par la loi (art. 130, 131, 142 al. 1 et al. 3, 145 al. 1 let. c et 311 al. 1 CPC), l'appel est, dans cette mesure, recevable. La réponse des intimés (art. 312 al. 2 CPC), ainsi que les répliques et dupliques des parties sont également recevables.</w:t>
      </w:r>
    </w:p>
    <w:p>
      <w:r>
        <w:rPr>
          <w:b/>
        </w:rPr>
        <w:t>E. 1.2</w:t>
      </w:r>
    </w:p>
    <w:p>
      <w:r>
        <w:t>S'agissant d'un appel, la Cour revoit la cause avec un plein pouvoir d'examen (art. 310 CPC).</w:t>
      </w:r>
    </w:p>
    <w:p>
      <w:r>
        <w:rPr>
          <w:b/>
        </w:rPr>
        <w:t>E. 2</w:t>
      </w:r>
    </w:p>
    <w:p>
      <w:r>
        <w:t>L'appelant reproche au Tribunal un état de fait lacunaire, lequel a été complété ci- dessus.</w:t>
      </w:r>
    </w:p>
    <w:p>
      <w:r>
        <w:t>Il reproche ensuite au Tribunal d’avoir rejeté l’exception de prescription.</w:t>
      </w:r>
    </w:p>
    <w:p>
      <w:r>
        <w:t>Il soutient en substance que le rapport général du 13 janvier 2014 identifiait de manière certaine les causes des infiltrations, la personne qui pouvait en être tenue responsable et le montant total des travaux à effectuer.</w:t>
      </w:r>
    </w:p>
    <w:p>
      <w:r>
        <w:t>Ce rapport avait chiffré le montant du dommage total à 384'524 fr. et la contre- expertise du 28 avril 2015 à 368'535 fr., soit un écart (de 16'171 fr.) représentant 4%, de sorte qu’il n’y avait pas eu de différences significatives entre les travaux prévus et leur exécution. Seule la clé de répartition (85% puis 67%) avait été modifiée. Ce rapport contenait tous les devis suffisamment détaillés pour exécuter les travaux.</w:t>
      </w:r>
    </w:p>
    <w:p>
      <w:r>
        <w:t>Ce rapport avait identifié l’auteur du dommage, en sa qualité de propriétaire du joint de surface en cause et l’expert avait confirmé que ce défaut avait été facile ou du moins évident à constater. Le Tribunal ne pouvait donc pas retenir, selon l'appelant, que l’auteur du dommage n’avait pas été identifié avant la contre- expertise du 28 avril 2015 puisque la responsabilité de l'appelant ressortait déjà du rapport du 13 janvier 2014.</w:t>
      </w:r>
    </w:p>
    <w:p>
      <w:r>
        <w:t>L’interruption de la prescription en août 2015 par la notification du commandement de payer était tardive. Les intimés n’avaient pas été dissuadés d’agir pendant la durée de l’expertise de F______ SA et, en tout état de cause, ils</w:t>
      </w:r>
    </w:p>
    <w:p>
      <w:r>
        <w:t>- 17/26 -</w:t>
      </w:r>
    </w:p>
    <w:p>
      <w:r>
        <w:t>C/16647/2016 n’avaient pas agi immédiatement après le refus d’entrer en matière qui leur avait été signifié par courrier du 17 avril 2015.</w:t>
      </w:r>
    </w:p>
    <w:p>
      <w:r>
        <w:t>Selon les intimés, il convenait de se remettre dans le contexte de l’époque durant laquelle ils étaient confrontés à une situation évolutive de dégâts des eaux depuis 2005. En janvier 2014 le rapport D______ ne faisait que poser une hypothèse dès lors qu’il régnait une importante incertitude quant à la provenance des infiltrations d’eau. En dépit des tests effectués au moyen des jets, D______ avait continué à se méfier que l’eau pouvait provenir des sous-sols en plus des murs, n’avait jamais eu la certitude que ce qu’il faisait était la bonne solution et avait procédé par tâtonnements. Les intimés avaient décidé d’installer un faux-plancher et avaient appelé les locataires après chaque grosse pluie pour savoir si les mesures prises étaient efficaces et ce n’était qu’en 2017, après de fortes pluies, qu’ils avaient eu la certitude que les réparations avaient été concluantes.</w:t>
      </w:r>
    </w:p>
    <w:p>
      <w:r>
        <w:t>A leur sens, si les causes du dommage avaient été claires à l’époque, ils n’auraient pas accepté de mandater F______ SA et ne pouvaient pas intenter une action en justice contre l'appelant alors qu’ils attendaient les conclusions de ladite expertise. A réception de celles-ci, les causes précises du dommage et l’identité de l’auteur n’étaient pas suffisamment claires pour permettre une action en justice. Ce n’était qu’après l’analyse du rapport de F______ SA par D______ le 28 avril 2015 que les intimés disposaient d’éléments suffisants pour agir à l’encontre de l'appelant.</w:t>
      </w:r>
    </w:p>
    <w:p>
      <w:r>
        <w:rPr>
          <w:b/>
        </w:rPr>
        <w:t>E. 2.1</w:t>
      </w:r>
    </w:p>
    <w:p>
      <w:r>
        <w:t>Selon l’art. 60 al. 1 CO, l’action en dommage-intérêts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w:t>
      </w:r>
    </w:p>
    <w:p>
      <w:r>
        <w:rPr>
          <w:b/>
        </w:rPr>
        <w:t>E. 2.1.1</w:t>
      </w:r>
    </w:p>
    <w:p>
      <w:r>
        <w:t>Le créancier connaît suffisamment le dommage lorsqu'il apprend, touchant son existence, sa nature et ses éléments, les circonstances propres à fonder et à motiver une demande en justice. Le dommage est suffisamment défini lorsque le créancier détient assez d'éléments pour qu'il soit en mesure de l'apprécier (ATF 136 III 322 consid. 4.1; 131 III 61 consid. 3.1.1). Le créancier n'est pas admis à différer sa demande jusqu'au moment où il connaît le montant absolument exact de son préjudice, car le dommage peut devoir être estimé selon l'art. 42 al. 2 CO (ATF 131 III 61 consid. 3.1). Vu la brièveté du délai de prescription, le Tribunal fédéral estime toutefois qu'on ne devrait pas se montrer trop exigeant à cet égard. Ainsi, le délai d'un an prévu à l'art. 60 al. 1 CO court dès le moment où le lésé a effectivement connaissance du dommage, et non de celui où il aurait pu découvrir l'importance de sa créance en faisant preuve de l'attention commandée par les circonstances. Le doute quant à l'existence de faits suffisants pour motiver une demande en justice doit être</w:t>
      </w:r>
    </w:p>
    <w:p>
      <w:r>
        <w:t>- 18/26 -</w:t>
      </w:r>
    </w:p>
    <w:p>
      <w:r>
        <w:t>C/16647/2016 interprété au préjudice du débiteur qui invoque l'exception de prescription, auquel incombe le fardeau de la preuve (ATF 111 II 55 consid. 3a et les références citées; WERRO, Commentaire romand, Code des obligations I, 2ème éd. 2012, cit., n. 18 ad art. 60 CO). Cette jurisprudence ne va cependant pas jusqu'à protéger celui qui se désintéresse de la question du dommage. Le lésé est tenu d'avoir un comportement conforme à la bonne foi (art. 2 CC). S'il connaît les éléments essentiels du dommage, on peut attendre de lui qu'il se procure les informations complémentaires nécessaires à l'ouverture d'une action (ATF 109 II 433 consid. 2, confirmé notamment par l'arrêt du Tribunal fédéral 2C_3/2005 du 10 janvier 2007 consid. 5.1; arrêt du Tribunal fédéral 4A_454/2010 du 6 janvier 2011 consid. 3.1 et références citées). Si l'ampleur du préjudice dépend d'une situation qui évolue, la prescription ne court pas avant le terme de cette évolution (ATF 108 Ib 97 consid. 1c; ATF 93 II 498 consid. 2). En effet, selon le principe de l'unité du dommage, celui-ci doit être considéré comme un tout et non comme la somme de préjudices distincts. Par conséquent, en cas d'évolution de la situation, le délai de prescription ne court pas avant que le plus tardif des éléments du dommage ne soit apparu. Cette règle vise essentiellement le préjudice consécutif à une atteinte à la santé de la victime, quand il n'est pas possible d'en prévoir l'évolution avec suffisamment de certitude (ATF 112 II 118 consid. 4); elle peut néanmoins être transposée à d'autres cas où un fait dommageable exerce un effet médiat et graduel, aux conséquences difficilement prévisibles, sur le patrimoine du lésé (ATF 108 Ib 97 consid. 1c).</w:t>
      </w:r>
    </w:p>
    <w:p>
      <w:r>
        <w:rPr>
          <w:b/>
        </w:rPr>
        <w:t>E. 2.1.2</w:t>
      </w:r>
    </w:p>
    <w:p>
      <w:r>
        <w:t>En ce qui concerne la connaissance de la personne responsable, celle-ci n'est pas acquise dès l'instant où le lésé présume que la personne en cause pourrait devoir réparer le dommage, mais seulement lorsqu'il connaît les éléments propres à fonder et à motiver une demande en justice contre elle. Le lésé doit ici faire preuve de l'attention commandée par les circonstances. Dans des situations exceptionnelles, lorsque le rapport de causalité naturelle ne peut être établi qu'au moyen d'une expertise, le lésé n'a une connaissance certaine de la personne responsable qu'à réception de cette expertise (ATF 131 III 61 consid. 3.1; 114 II 253 consid. 2a; 112 II 118 consid. 4; 111 II 55 consid. 3a; 96 II 39 consid. 2a; WERRO, op. cit., n. 22 ad art. 60 CO).</w:t>
      </w:r>
    </w:p>
    <w:p>
      <w:r>
        <w:rPr>
          <w:b/>
        </w:rPr>
        <w:t>E. 2.1.3</w:t>
      </w:r>
    </w:p>
    <w:p>
      <w:r>
        <w:t>Selon l'art. 135 CO, la prescription est interrompue notamment lorsque le créancier fait valoir ses droits par des poursuites, par une requête de conciliation, par une action ou une exception devant un tribunal ou un tribunal arbitral ou par une intervention dans une faillite (ch. 2). L'interruption a pour conséquence de faire courir un nouveau délai (WERRO, op. cit., n. 22 ad art. 60 CO).</w:t>
      </w:r>
    </w:p>
    <w:p>
      <w:r>
        <w:rPr>
          <w:b/>
        </w:rPr>
        <w:t>E. 2.2</w:t>
      </w:r>
    </w:p>
    <w:p>
      <w:r>
        <w:t>A teneur de l'art. 2 al. 2 CC, l'abus manifeste d'un droit n'est pas protégé par la loi. Cette règle permet au juge de corriger les effets de la loi dans certains cas</w:t>
      </w:r>
    </w:p>
    <w:p>
      <w:r>
        <w:t>- 19/26 -</w:t>
      </w:r>
    </w:p>
    <w:p>
      <w:r>
        <w:t>C/16647/2016 où l'exercice d'un droit allégué créerait une injustice manifeste. Le juge apprécie la question au regard des circonstances concrètes. Les cas typiques en sont l'absence d'intérêt à l'exercice d'un droit, l'utilisation d'une institution juridique de façon contraire à son but, la disproportion manifeste des intérêts en présence, l'exercice d'un droit sans ménagement ou l'attitude contradictoire. L'abus de droit doit être admis restrictivement, comme l'exprime l'adjectif «manifeste» utilisé dans le texte légal (ATF 143 III 279 consid. 3.1; 135 III 162 consid. 3.3.1; arrêt du Tribunal fédéral 4A_303/2017 du 13 décembre 2017 consid. 3.3). Le débiteur commet un abus de droit au sens de l'art. 2 al. 2 CC en se prévalant de la prescription non seulement lorsqu'il amène astucieusement le créancier à ne pas agir en temps utile, mais aussi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Ainsi, quand le débiteur - alors que le délai de prescription courait encore - a déterminé le créancier à attendre, il abuse de son droit en lui reprochant ensuite de n'avoir pas agi après s'être prévalu de la prescription (venire contra factum proprium; ATF 143 III 348 consid. 5.5.1; 128 V 236 consid. 4a; 113 II 269 consid. 2e et les références; cf. également ATF 131 III 430 consid. 2). Le comportement en cause peut par exemple consister à maintenir le créancier dans l'espoir que des discussions aboutiront à une solution favorable à ses intérêts (arrêt du Tribunal fédéral 4A_303/2017 du 13 décembre 2017 consid. 3.3 et les références citées). Le comportement du débiteur doit être en relation de causalité avec le retard à agir du créancier (ATF 143 III 348 consid. 5.5.1; 128 V 236 consid. 4a; arrêt du Tribunal fédéral 4A_303/2017 du 13 décembre 2017 consid. 3.3). 2.3.1 En l’espèce, l’opinion du Tribunal selon laquelle les intimés n’avaient connu l’auteur du dommage qu’après la réception du rapport de contre-expertise de D______ du 28 avril 2015 n’est pas convaincante. En effet, après la mise à nu des locaux et des tests effectués au moyen de jets d’eau, les intimés avaient constaté que les infiltrations d’eau provenaient du mur Est, précisément du joint d’étanchéité horizontal entre les immeubles des parties, soit d’un ouvrage réalisé par l'appelant. Ils avaient identifié la cause du sinistre en automne 2013, ce qui résultait des photos qu’ils avaient prises à cette époque. De plus, le rapport général de D______ du 13 janvier 2014 avait clairement imputé à l'appelant la responsabilité du principe d’étanchéité entre les deux immeubles. En date du 13 janvier 2014, les intimés connaissaient également le montant de leur dommage, lequel avait été précisément chiffré à 384'524 fr. sur la base des</w:t>
      </w:r>
    </w:p>
    <w:p>
      <w:r>
        <w:t>- 20/26 -</w:t>
      </w:r>
    </w:p>
    <w:p>
      <w:r>
        <w:t>C/16647/2016 devis des entreprises et avaient engagé les travaux en fonction du rapport général de leur architecte. La contre-expertise du 28 avril 2015 chiffrait par contre exactement le montant de leur dommage, sur la base des factures desdites entreprises. Cependant, selon la jurisprudence sus-évoquée, le créancier, soit les intimés, n'étaient pas admis à différer leur demande, s'agissant du point de départ de la prescription, jusqu’au moment où ils connaissent le montant exact de leur dommage. L’ampleur du préjudice ne résulte pas d’une situation qui évolue comme le soutiennent les intimés, dès lors que le problème du joint d’étanchéité a été clairement retenu en automne 2013 déjà et que les autres causes d’infiltrations intervenues en 2005-2006 et en 2008-2009 ne font pas partie du présent litige. En outre, des infiltrations subséquentes ne se sont pas produites. Selon l’expert, le problème d’étanchéité entre les deux murs mitoyens avait été facile ou du moins évidente à constater. Il convient par conséquent de retenir que le dies a quo de la prescription a commencé à courir au plus tard le lendemain du 13 janvier 2014. 2.3.2 Cela étant, les parties ont mandaté, d’un commun accord le 26 mars 2014, par l'entremise de l'assurance de l'appelant, F______ SA en vue d'effectuer une expertise. Il s’agit au sens de la jurisprudence susévoquée d’une démarche qui a incité les intimés à ne pas se préoccuper de l’interruption du délai de prescription dès lors qu’ils étaient maintenus dans la confiance que cette expertise-là aboutirait à une solution amiable et dans le sens de leurs intérêts. En effet, cette expertise avait notamment pour but de déterminer tant les causes des dommages survenus que l'imputation de ceux-ci. Il est par conséquent abusif de retenir que le délai de prescription ait couru entre le 26 mars 2014 et le 26 février 2015, date de la reddition du rapport de F______ SA. Le délai de prescription a ainsi commencé à courir dès le 14 janvier 2014, lendemain du rapport général du 13 janvier 2014, jusqu’au 25 mars 2014, puis du 27 février 2015, lendemain de la remise du rapport de F______ SA, et a été interrompu le 28 août 2015. Il a donc couru au total durant moins d’une année. Les prétentions des intimés en dommages-intérêts ne peuvent dès lors pas être considérées comme étant prescrites.</w:t>
      </w:r>
    </w:p>
    <w:p>
      <w:r>
        <w:rPr>
          <w:b/>
        </w:rPr>
        <w:t>E. 3</w:t>
      </w:r>
    </w:p>
    <w:p>
      <w:r>
        <w:t>L'appelant admet que le défaut du joint d’étanchéité lui est imputable, mais invoque la rupture du lien de causalité naturel entre ce défaut et le dommage des intimés. Ledit dommage ne provient pas que du joint non étanche, mais également d’un « déséquilibre dans les mouvements d’eau souterrains » dès la construction de la station de pompage et aussi des travaux effectués par les intimés qui ont aménagé le sous-sol de leur bâtiment historique. L’eau s’y est infiltrée en raison</w:t>
      </w:r>
    </w:p>
    <w:p>
      <w:r>
        <w:t>- 21/26 -</w:t>
      </w:r>
    </w:p>
    <w:p>
      <w:r>
        <w:t>C/16647/2016 de l’absence d’étanchéité des murs des intimés et parce que leur bâtiment historique n’est pas correctement drainé. Il soutient que même sans infiltrations d’eau de surface par le joint mitoyen le dommage des intimés se serait produit en raison des mouvements d’eau souterrains du fait de la construction de la station de pompage, lesquels ne lui sont pas imputables dès lors qu'ils constituent un événement imprévisible et inévitable et non pas un vice de construction ou d’entretien. Cette eau souterraine aurait été quoiqu’il en soit été mise en contact avec les murs du bâtiment historique. Autrement dit, l'appelant fait état de ce que le dommage se serait également produit si le joint de surface avait été étanche. L'appelant soutient en outre que les intimés n’ont pas rapporté la preuve de leur dommage puisque l’expert n’a pas pu déterminer avec précision quel dommage était imputable à quelle cause. Il prétend en outre que les travaux entrepris par les intimés ont apporté une plus-value à leur bâtiment parce qu’ils n’ont pas consisté uniquement à réparer les conséquences des infiltrations, mais à corriger les faiblesses de sa conception historique. Selon les intimés, le bâtiment de l'appelant souffre tant d’un défaut de conception que d’un défaut d’entretien et il ressort de l’expertise judiciaire que le défaut d’étanchéité du joint constitue la cause prépondérante des infiltrations. Les réparations effectuées en 2014, soit le remplacement du joint et sa protection par une pièce en ferblanterie ont permis de mettre un terme aux infiltrations. Or, si l’eau provenait des sous-sols comme l'appelant le soutient, les infiltrations auraient persisté. Ils ajoutent qu’il appartenait à l'appelant de prendre les mesures nécessaires, lors de la construction de son bâtiment, afin de l’adapter à la présence d’un bâtiment historique. Ils soutiennent avoir prouvé le montant de leur dommage et assumé la part de frais n’incombant pas à l'appelant et contestent l’existence d’une plus-value, rappelant avoir pris à leur charge un montant de 14'705 fr. à titre de vétusté.</w:t>
      </w:r>
    </w:p>
    <w:p>
      <w:r>
        <w:rPr>
          <w:b/>
        </w:rPr>
        <w:t>E. 3.1</w:t>
      </w:r>
    </w:p>
    <w:p>
      <w:r>
        <w:t>Selon l'art. 58 al. 1 CO, le propriétaire d'un bâtiment ou de tout autre ouvrage répond du dommage causé par des vices de construction ou le défaut d'entretien. Cette disposition institue une responsabilité objective simple, laquelle ne repose pas, contrairement à d'autres normes de ce type, sur la violation objective du devoir de diligence du propriétaire, mais sur le seul état défectueux de l'ouvrage; le propriétaire répond indépendamment de la question de savoir si lui ou un de ses auxiliaires a commis une violation de son devoir de diligence, donc également pour cas fortuit (arrêt du Tribunal fédéral 4A_38/2019 du 25 février 2019 consid. 3.1 et les références citées). L'art. 58 al. 1 CO présuppose la réalisation de cinq conditions: (1) un propriétaire d'ouvrage; (2) un ouvrage; (3) un défaut de l'ouvrage; (4) un dommage; et (5) un lien de causalité naturelle et adéquate entre</w:t>
      </w:r>
    </w:p>
    <w:p>
      <w:r>
        <w:t>- 22/26 -</w:t>
      </w:r>
    </w:p>
    <w:p>
      <w:r>
        <w:t>C/16647/2016 le défaut de l'ouvrage et le dommage (arrêt du Tribunal fédéral 4A_38/2019 du 25 février 2019 consid. 3.1 publié in SJ 2019 I 433). En ce qui concerne le défaut de l'ouvrage (3° condition), celui-ci consiste soit en un vice de construction, soit en un défaut d'entretien (SJ 2019 I 433 consid. 3.2). Selon la jurisprudence, il y a défaut lorsque l'ouvrage n'offre pas une sécurité suffisante pour l'usage auquel il est destiné (ATF 130 III 736 consid. 1.3 et les références; 126 III 113 consid. 2a/cc ; 123 III 306 consid. 3 b/aa; 122 III 229 consid. 5a/bb; 117 II 50 consid. 2; 106 II 208 consid. 1a ; arrêt du Tribunal fédéral 4A_38/2019 du 25 février 2019 consid. 3.2). Pour en décider, il faut apprécier objectivement toutes les circonstances concrètes du cas d'espèce, eu égard tout particulièrement à la destination de l'ouvrage et aux mesures qui peuvent être raisonnablement exigées du propriétaire (arrêt du Tribunal fédéral 4A_377/2016 du 18 octobre 2016 consid. 2.3.2 in fine ; SJ 2019 I 433 consid. 3.2).</w:t>
      </w:r>
    </w:p>
    <w:p>
      <w:r>
        <w:t>Un fait est la cause naturelle d'un résultat dommageable s'il en constitue une des conditions sine qua non; il n'est pas nécessaire que l'événement considéré soit la cause unique ou immédiate du résultat. Le constat d'un lien de causalité naturelle relève du fait (ATF 139 V 176 consid. 8.4.1 et 8.4.3 ; arrêts du Tribunal fédéral 4A_60/2017 du 28 juin 2017 consid. 3.7 et 4A_543/2016 du 1er novembre 2016 consid. 3.2.3).</w:t>
      </w:r>
    </w:p>
    <w:p>
      <w:r>
        <w:t>La preuve d'un fait est établie avec vraisemblance prépondérante lorsque la possibilité qu'il en soit allé autrement ne joue pas pour le fait concerné un rôle déterminant ni n'entre raisonnablement en considération (ATF 130 III 321 consid. 3.3 ; arrêt du Tribunal fédéral 4A_543/2016 du 1er novembre 2016 consid. 3.2.3).</w:t>
      </w:r>
    </w:p>
    <w:p>
      <w:r>
        <w:t>Le rôle causal du défaut d’entretien d’un ouvrage doit être exclu s’il est établi que le propriétaire, en entretenant correctement l’ouvrage, n’aurait pas empêché la survenance du dommage (WERRO, op. cit., n. 22 ad art. 58 CO).</w:t>
      </w:r>
    </w:p>
    <w:p>
      <w:r>
        <w:t>Pour retenir une causalité naturelle en cas d’omission, il faut admettre par hypothèse que le dommage ne serait pas survenu si l'intéressé avait agi conformément à la loi. Un lien de causalité naturelle ne sera donc pas nécessairement prouvé avec une exactitude scientifique. Le rapport de causalité étant hypothétique, le juge se fonde sur l'expérience générale de la vie et émet un jugement de valeur. En règle générale, lorsque le lien de causalité hypothétique entre l'omission et le dommage est établi, il ne se justifie pas de soumettre cette constatation à un nouvel examen sur la nature adéquate de la causalité. Ainsi, lorsqu'il s'agit de rechercher l'existence d'un lien de causalité entre une ou des omissions et un dommage, il convient de s'interroger sur le cours hypothétique des événements (arrêt du Tribunal fédéral 4A_543/2016 du 1er novembre 2016 consid. 3.2.3).</w:t>
      </w:r>
    </w:p>
    <w:p>
      <w:r>
        <w:t>- 23/26 -</w:t>
      </w:r>
    </w:p>
    <w:p>
      <w:r>
        <w:t>C/16647/2016 La preuve de l'existence d'un vice de construction ou d'un défaut d'entretien incombe à celui qui invoque l'art. 58 CO (arrêt du Tribunal fédéral 4A_38/2019 du 25 février 2019 consid. 3.2). Une expertise privée n'a pas la même valeur qu'une expertise judiciaire (ATF 125 V 351 consid. 3c). La jurisprudence ne lui reconnaît en principe pas de force probante particulière; elle doit être considérée comme de simples allégations d'une partie (ATF 132 III 83 consid. 3.4; arrêt du Tribunal fédéral 4D_71/2013 du 26 février 2014 consid. 2.5). Comme tout moyen de preuve, une expertise est sujette à la libre appréciation des preuves par le juge. Sur les questions qui relèvent de l'expertise, le tribunal ne peut s'écarter d'une expertise judiciaire que pour des motifs pertinents (ATF 138 III 193 consid. 4.3.1, JdT 2012 II 489; arrêt du Tribunal fédéral 4A_483/2014 du 25 novembre 2014 consid. 6.1).</w:t>
      </w:r>
    </w:p>
    <w:p>
      <w:r>
        <w:rPr>
          <w:b/>
        </w:rPr>
        <w:t>E. 3.2</w:t>
      </w:r>
    </w:p>
    <w:p>
      <w:r>
        <w:t>En l’espèce, les parties ne contestent pas les conclusions de l’expertise judiciaire qui sont fiables, concluantes et qui ont été confirmées par son auteur lors de son audition par le Tribunal, de sorte que la Cour se ralliera à celles-ci.</w:t>
      </w:r>
    </w:p>
    <w:p>
      <w:r>
        <w:rPr>
          <w:b/>
        </w:rPr>
        <w:t>E. 3.2.1</w:t>
      </w:r>
    </w:p>
    <w:p>
      <w:r>
        <w:t>L’expert a confirmé au Tribunal que les dégâts constatés sur le mur Est provenaient de l’ouvrage de l'appelant. Il ressort de son expertise que seule une bande de serrage châssait un mur dont la tête était exposée et non traitée. De plus, le reste des joints exécutés en matériaux souples n’avait eu qu’une durée de vie limitée avec pour conséquence le décollement de ce matériau. Il a retenu comme certain que cet ensemble n’avait pas assuré son rôle d’étanchéité et avait permis l’écoulement d’une quantité importante d’eau dans le bâtiment historique.</w:t>
      </w:r>
    </w:p>
    <w:p>
      <w:r>
        <w:t>Le Tribunal a donc retenu avec raison l’existence d’un vice initial de construction et d’un défaut subséquent d’entretien du joint d’étanchéité. L’appelant admet au demeurant sa responsabilité en relation avec ce défaut, lequel est propriétaire de l’ouvrage, ce qui n’est pas contesté.</w:t>
      </w:r>
    </w:p>
    <w:p>
      <w:r>
        <w:rPr>
          <w:b/>
        </w:rPr>
        <w:t>E. 3.2.2</w:t>
      </w:r>
    </w:p>
    <w:p>
      <w:r>
        <w:t>Les intimés ont également prouvé leur dommage, l’expert ayant retenu le montant de 319'946 fr., lequel se compose de frais de recherches et démontages pour 63'960 fr., d’assainissement du bâtiment pour 127'618 fr. et de réparations pour 128'368 fr. Il n’y a donc pas de travaux à plus-value, ce d’autant moins que les intimés ont assumé un montant de 14'705 fr. à titre de vétusté parce qu’une partie de leurs locaux avait été rénovée il y a 12 ans.</w:t>
      </w:r>
    </w:p>
    <w:p>
      <w:r>
        <w:t>En sus de ce montant de 319'946 fr., le Tribunal a admis avec raison la facture de I______ de 689 fr. 30 concernant des travaux de réparation du joint d’étanchéité exécutés sur recommandation de l’expert et pour un prix inférieur à celui articulé par ce dernier, plus la perte locative de 42'208 fr. [recte : 42'408 fr.] durant laquelle les locaux du sous-sol ont dû être évacués par les locataires, soit un</w:t>
      </w:r>
    </w:p>
    <w:p>
      <w:r>
        <w:t>- 24/26 -</w:t>
      </w:r>
    </w:p>
    <w:p>
      <w:r>
        <w:t>C/16647/2016 dommage total de 362'843 fr. 30 [recte : 363'043 fr. 30]. Compte tenu de l’absence d’appel des intimés, le montant du dommage sera retenu à concurrence de 362'843 fr. 30 (art. 58 al. 1 CPC).</w:t>
      </w:r>
    </w:p>
    <w:p>
      <w:r>
        <w:rPr>
          <w:b/>
        </w:rPr>
        <w:t>E. 3.2.3</w:t>
      </w:r>
    </w:p>
    <w:p>
      <w:r>
        <w:t>Il ne peut pas être retenu, comme le soutient l'appelant, que le dommage se serait quand même produit si le joint d’étanchéité avait été pleinement efficace.</w:t>
      </w:r>
    </w:p>
    <w:p>
      <w:r>
        <w:t>En effet, c’est à la suite des fortes intempéries survenues en 2013 que les infiltrations ont été constatées sur le mur Est, fait que les intimés ont vérifié au moyen de jets d’eau projetés contre ce mur. Ce n’est donc pas des mouvements d’eaux souterrains qui ont provoqué le sinistre.</w:t>
      </w:r>
    </w:p>
    <w:p>
      <w:r>
        <w:t>De plus, les infiltrations ont cessé après la réparation du joint d’étanchéité, en particulier par la pose d’un « chapeau complet » en ferblanterie couvrant l’ouvrage et les intimés ont pu constater l’absence d’infiltrations à la suite de fortes intempéries survenues en 2017. Comme l’a déclaré l’expert, « si la situation s'est stabilisée, c'est que le détail proposé remplit son office ».</w:t>
      </w:r>
    </w:p>
    <w:p>
      <w:r>
        <w:t>Enfin, il n’est pas certain que les mouvements d’eau souterrains soient également une cause concurrente du dommage, l’expert ayant évoqué cette hypothèse d’un point de vue historique : « la station de pompage a probablement, dès sa construction, créé un déséquilibre dans les mouvements d’eau souterrains. Les murs du bâtiment [de la rue] 3______ n’étant pas étanches et le bâtiment n’étant pas drainé correctement, l’eau a pu s’infiltrer ». Donc même à supposer que des infiltrations se soient produites en raison de mouvements d’eau souterrains, force est de constater que ce fait serait aussi imputable à l'appelant, laquelle, en ne procédant pas à l’étanchéification de ses murs et au drainage de la station, serait également responsable du dommage à ce titre.</w:t>
      </w:r>
    </w:p>
    <w:p>
      <w:r>
        <w:t>Il existe par conséquent un lien de causalité naturelle entre, d’une part, le vice initial de construction et le défaut subséquent d’entretien du joint d’étanchéité et, d’autre part, le dommage. En effet, c’est parce que cet ensemble n’a pas assuré son rôle d’étanchéité selon l’expert qu’une quantité d’eau importante s’est infiltrée à travers le mur Est du bâtiment historique.</w:t>
      </w:r>
    </w:p>
    <w:p>
      <w:r>
        <w:t>En tout état de cause, il est également dans le cours ordinaire des choses et l’expérience de la vie qu’une étanchéité défectueuse du point de vue de sa conception et de son défaut d’entretien ait causé les dégâts d’eau importants survenus dans le bâtiment historique.</w:t>
      </w:r>
    </w:p>
    <w:p>
      <w:r>
        <w:rPr>
          <w:b/>
        </w:rPr>
        <w:t>E. 3.2.4</w:t>
      </w:r>
    </w:p>
    <w:p>
      <w:r>
        <w:t>Le Tribunal a statué en équité et a imputé à l'appelant 60% du montant du dommage total de 362'843 fr. 30. S’il est vrai qu’il a considéré la faiblesse de la conception historique en termes de drainage du bâtiment [de la rue] 3______, il n’a pas tenu compte du fait que l’aménagement du sous-sol/rez-inférieur par les intimés avait provoqué un autre déséquilibre, parce que ce complexe en</w:t>
      </w:r>
    </w:p>
    <w:p>
      <w:r>
        <w:t>- 25/26 -</w:t>
      </w:r>
    </w:p>
    <w:p>
      <w:r>
        <w:t>C/16647/2016 maçonnerie, plus étanche que les pieds de murs historiques, avait permis à l‘eau de remonter par capillarité. Il n’en demeure pas moins que la proportion de 60% du dommage mise à la charge de l'appelant ne prétérite nullement celle-ci. En effet, si les intimés assument une part de responsabilité en raison du drainage insuffisant de leur bâtiment historique et de l’aménagement de leurs sous-sol/rez- inférieur, l'appelant répond du vice de construction du joint d’étanchéité, de son défaut d’entretien subséquent et surtout de l’absence d’étanchéité de sa station de pompage, élément qui pèse lourdement dans l’appréciation de sa responsabilité.</w:t>
      </w:r>
    </w:p>
    <w:p>
      <w:r>
        <w:t>Par conséquent, l'appelant ne peut pas se plaindre de ce que le Tribunal lui ait imputé 60% du montant du dommage des intimés, soit un montant de 217'706 fr. Les intérêts moratoires à 5% l’an dès le 16 juin 2015 ne sont pas contestés ni le montant précité à concurrence duquel la mainlevée définitive de la poursuite a été prononcée.</w:t>
      </w:r>
    </w:p>
    <w:p>
      <w:r>
        <w:t>Au vu de ce qui précède, le jugement entrepris sera intégralement confirmé.</w:t>
      </w:r>
    </w:p>
    <w:p>
      <w:r>
        <w:rPr>
          <w:b/>
        </w:rPr>
        <w:t>E. 4.1</w:t>
      </w:r>
    </w:p>
    <w:p>
      <w:r>
        <w:t>Les frais judiciaires d'appel seront fixés à 12’000 fr. (art. 13, 17 et 35 RTFMC). Ils seront mis à la charge de l'appelant, qui succombe (art. 95 et 106 al. 1 CPC), et compensés avec l'avance de frais du même montant versée par celui-ci, qui reste acquise à l'Etat de Genève (art. 111 al. 1 CPC).</w:t>
      </w:r>
    </w:p>
    <w:p>
      <w:r>
        <w:rPr>
          <w:b/>
        </w:rPr>
        <w:t>E. 4.2</w:t>
      </w:r>
    </w:p>
    <w:p>
      <w:r>
        <w:t>L'appelant sera également condamné à verser à l'intimée un montant de 12’200 fr., débours et TVA compris, à titre de dépens d'appel (art. 95 al. 3 CPC, art. 85 et 90 RTFMC; art. 25 et 26 LaCC). * * * * *</w:t>
      </w:r>
    </w:p>
    <w:p>
      <w:r>
        <w:t>- 26/26 -</w:t>
      </w:r>
    </w:p>
    <w:p>
      <w:r>
        <w:t>C/16647/2016 PAR CES MOTIFS, La Chambre civile : A la forme : Déclare recevable l'appel interjeté le 29 novembre 2019 par SERVICES INDUSTRIELS DE GENEVE contre le jugement JTPI/15165/2019 rendu le 29 octobre 2019 par le Tribunal de première instance dans la cause C/16647/2016-8. Au fond : Confirme le jugement entrepris. Déboute les parties de toutes autres conclusions. Sur les frais d’appel : Arrête les frais judiciaires d'appel à 12'000 fr., les met à la charge des SERVICES INDUSTRIELS DE GENEVE et les compense avec l'avance de frais fournie par celle- ci, qui reste acquise à l'Etat de Genève. Condamne LES SERVICES INDUSTRIELS DE GENEVE à verser à B______ et A______ pris conjointement un montant de 12'200 fr. à titre de dépens d'appel. Siégeant : Madame Jocelyne DEVILLE-CHAVANNE, présidente; Mesdames Verena PEDRAZZINI RIZZIe et Nathalie LANDRY-BARTHE, juges; Madame Jessica ATHMOUNI, greffière. La présidente : Jocelyne DEVILLE-CHAVANNE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