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ACJC/612/2017 vom 24. Mai 2017</w:t>
      </w:r>
    </w:p>
    <w:p>
      <w:r>
        <w:t>GE Cour de justice, 2017-05-24, FR</w:t>
      </w:r>
    </w:p>
    <w:p>
      <w:r>
        <w:rPr>
          <w:b/>
        </w:rPr>
        <w:t xml:space="preserve">Quelle: </w:t>
      </w:r>
      <w:r>
        <w:t>https://mcp.opencaselaw.ch/entscheid/ge_gerichte_ACJC_612_2017</w:t>
      </w:r>
    </w:p>
    <w:p>
      <w:r>
        <w:t>FR: GE_GERICHTE ACJC/612/2017 du 24 mai 2017</w:t>
      </w:r>
    </w:p>
    <w:p>
      <w:r>
        <w:t>IT: GE_GERICHTE ACJC/612/2017 del 24 maggio 2017</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w:t>
      </w:r>
    </w:p>
    <w:p>
      <w:r>
        <w:t>- 5/7 -</w:t>
      </w:r>
    </w:p>
    <w:p>
      <w:r>
        <w:t>C/24893/2016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3.2</w:t>
      </w:r>
    </w:p>
    <w:p>
      <w:r>
        <w:t>En l'espèce, la recourante a produit avec son recours deux pièces non soumises au Tribunal, établies respectivement le 6 avril et le 3 mai 2015. S'agissant de pseudo-nova, ces pièces, ainsi que les allégués de fait s'y rapportant, sont recevables.</w:t>
      </w:r>
    </w:p>
    <w:p>
      <w:r>
        <w:rPr>
          <w:b/>
        </w:rPr>
        <w:t>E. 4</w:t>
      </w:r>
    </w:p>
    <w:p>
      <w:r>
        <w:t>La recourante se plaint d'une violation de son droit d'être entendue, le Tribunal n'ayant, à son sens, pas examiné et discuté les arguments qu'elle avait invoqués lors de l'audience de débats.</w:t>
      </w:r>
    </w:p>
    <w:p>
      <w:r>
        <w:rPr>
          <w:b/>
        </w:rPr>
        <w:t>E. 4.1</w:t>
      </w:r>
    </w:p>
    <w:p>
      <w:r>
        <w:t>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w:t>
      </w:r>
    </w:p>
    <w:p>
      <w:r>
        <w:t>- 6/7 -</w:t>
      </w:r>
    </w:p>
    <w:p>
      <w:r>
        <w:t>C/24893/2016</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w:t>
      </w:r>
    </w:p>
    <w:p>
      <w:r>
        <w:t>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w:t>
      </w:r>
    </w:p>
    <w:p>
      <w:r>
        <w:t>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w:t>
      </w:r>
    </w:p>
    <w:p>
      <w:r>
        <w:rPr>
          <w:b/>
        </w:rPr>
        <w:t>E. 4.2</w:t>
      </w:r>
    </w:p>
    <w:p>
      <w:r>
        <w:t>En l'espèce, le premier juge n'a pas, même sommairement, exposé dans les considérants de la décision entreprise pour quelles raisons la faillite pouvait être prononcée malgré les mesures de blocage ordonnées par le Conseil fédéral. Il s'ensuit que le droit d'être entendue de la recourante a été violé. Dès lors que la Cour ne dispose que d'un pouvoir d'examen limité, il se justifie d'annuler le jugement querellé et de renvoyer la cause en première instance pour nouvelle décision (art. 327 al. 3 let. a CPC).</w:t>
      </w:r>
    </w:p>
    <w:p>
      <w:r>
        <w:rPr>
          <w:b/>
        </w:rPr>
        <w:t>E. 5</w:t>
      </w:r>
    </w:p>
    <w:p>
      <w:r>
        <w:t>Les frais du recours seront arrêtés à 220 fr. (art. 61 OELP). L'équité exige que les frais judiciaires liés au recours soient mis à la charge de l'Etat de Genève, dans la mesure où le jugement entrepris est annulé en raison de la violation du droit d'être entendu de la recourante, qui ne lui est pas imputable. La somme de 220 fr. sera en conséquence restituée à la recourante.</w:t>
      </w:r>
    </w:p>
    <w:p>
      <w:r>
        <w:t>Il ne se justifie pas d'allouer de dépens à la recourante, celle-ci étant représentée par elle-même (art. 95 al. 3 let. c CPC).</w:t>
      </w:r>
    </w:p>
    <w:p>
      <w:r>
        <w:rPr>
          <w:b/>
        </w:rPr>
        <w:t>E. 6</w:t>
      </w:r>
    </w:p>
    <w:p>
      <w:r>
        <w:t>La présente décision s'inscrit dans une procédure de faillite sujette au recours en matière civile au Tribunal fédéral (art. 72 al. 1 et 2 let. a LTF), indépendamment de la valeur litigieuse (art. 74 al. 2 let. d LTF).</w:t>
      </w:r>
    </w:p>
    <w:p>
      <w:r>
        <w:t>- 7/7 -</w:t>
      </w:r>
    </w:p>
    <w:p>
      <w:r>
        <w:t>C/24893/2016 * * * * * PAR CES MOTIFS, La Chambre civile : A la forme : Déclare recevable le recours interjeté le 16 février 2017 par A______ SA contre le jugement JTPI/1147/2017 rendu le 25 janvier 2017 par le Tribunal de première instance dans la cause C/24893/2016-22 SFC. Au fond Annule ledit jugement. Renvoie la cause au Tribunal pour nouvelle décision dans le sens des considérants. Sur les frais : Arrête les frais judiciaires de recours à 220 fr. et les met à la charge de l'Etat de Genève. Ordonne aux Services financiers du Pouvoir judiciaire de restituer la somme de 220 fr. à A______ SA à titre de remboursement de frais.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