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ACJC/610/2023 vom 12. Mai 2023</w:t>
      </w:r>
    </w:p>
    <w:p>
      <w:r>
        <w:t>GE Cour de justice, 2023-05-12, FR</w:t>
      </w:r>
    </w:p>
    <w:p>
      <w:r>
        <w:rPr>
          <w:b/>
        </w:rPr>
        <w:t xml:space="preserve">Quelle: </w:t>
      </w:r>
      <w:r>
        <w:t>https://mcp.opencaselaw.ch/entscheid/ge_gerichte_ACJC_610_2023</w:t>
      </w:r>
    </w:p>
    <w:p>
      <w:r>
        <w:t>FR: GE_GERICHTE ACJC/610/2023 du 12 mai 2023</w:t>
      </w:r>
    </w:p>
    <w:p>
      <w:r>
        <w:t>IT: GE_GERICHTE ACJC/610/2023 del 12 maggio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notamment sur la garde d'un enfant mineur, de sorte qu'il doit être considéré comme non pécuniaire dans son ensemble (arrêt du Tribunal fédéral 5A_765/2012 du 19 février 2013 consid. 1.1).</w:t>
      </w:r>
    </w:p>
    <w:p>
      <w:r>
        <w:rPr>
          <w:b/>
        </w:rPr>
        <w:t>E. 1.2</w:t>
      </w:r>
    </w:p>
    <w:p>
      <w:r>
        <w:t>Interjeté dans le délai de trente jours (art. 142 al. 3 et 311 al. 1 CPC) et suivant la forme prescrite par la loi (art. 130, 131, 311 al. 1 CPC), l'appel est recevable.</w:t>
      </w:r>
    </w:p>
    <w:p>
      <w:r>
        <w:t>Il sera donné acte à l'ex-épouse de ce qu'elle a retiré l'appel joint (cf. art. 241 al. 1 CPC).</w:t>
      </w:r>
    </w:p>
    <w:p>
      <w:r>
        <w:rPr>
          <w:b/>
        </w:rPr>
        <w:t>E. 2.1</w:t>
      </w:r>
    </w:p>
    <w:p>
      <w:r>
        <w:t>La Cour revoit la cause en fait et en droit avec un plein pouvoir d'examen (art. 310 CPC).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 inexacte des faits (arrêts du Tribunal fédéral 4A_349/2015 du 5 janvier 2016 consid. 1.5 et 4A_263/2015 du 29 septembre 2015 consid. 5.2.2). Il incombe ainsi à l'appelant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4A_290/2014 du 1er septembre 2014 consid. 5; 5A_89/2014 du 15 avril 2015 consid. 5.3.2).</w:t>
      </w:r>
    </w:p>
    <w:p>
      <w:r>
        <w:rPr>
          <w:b/>
        </w:rPr>
        <w:t>E. 2.2</w:t>
      </w:r>
    </w:p>
    <w:p>
      <w:r>
        <w:t>La présente cause est soumise aux maximes d'office et inquisitoire illimitée en tant qu'elle concerne les droits parentaux et la contribution d'entretien des enfants mineurs des parties (art. 55 al. 2, 58 al. 2 et 296 CPC), ce qui a pour conséquence que la Cour n'est pas liée par les conclusions de celles-ci (art. 296 al. 3 CPC), ni par l'interdiction de la reformatio in pejus (ATF 129 III 417 consid. 2.1.1; arrêts du Tribunal fédéral 5A_841/2018, 5A_843/2018 du 12 février 2020 consid. 5.2).</w:t>
      </w:r>
    </w:p>
    <w:p>
      <w:r>
        <w:t>- 21/36 -</w:t>
      </w:r>
    </w:p>
    <w:p>
      <w:r>
        <w:t>C/4478/2021</w:t>
      </w:r>
    </w:p>
    <w:p>
      <w:r>
        <w:rPr>
          <w:b/>
        </w:rPr>
        <w:t>E. 3</w:t>
      </w:r>
    </w:p>
    <w:p>
      <w:r>
        <w:t>Les parties ont déposé des pièces nouvelles et allégué des faits nouveaux.</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 en appel même si les conditions de l'art. 317 al. 1 CPC ne sont pas réunies (ATF 144 III 349 consid. 4.2.1).</w:t>
      </w:r>
    </w:p>
    <w:p>
      <w:r>
        <w:rPr>
          <w:b/>
        </w:rPr>
        <w:t>E. 3.2</w:t>
      </w:r>
    </w:p>
    <w:p>
      <w:r>
        <w:t>Les pièces nouvelles produites sont en lien avec le sort des mineurs et avec les contributions à l'entretien de ceux-ci. Par ailleurs, elles ont été produites à la demande de la Cour, qui a ordonné des débats et administré de preuves (art. 316 al. 1 et 3 CPC). Lesdites pièces sont donc recevables, comme les faits qu'elles visent.</w:t>
      </w:r>
    </w:p>
    <w:p>
      <w:r>
        <w:rPr>
          <w:b/>
        </w:rPr>
        <w:t>E. 4</w:t>
      </w:r>
    </w:p>
    <w:p>
      <w:r>
        <w:t>A juste titre, les parties ne remettent pas en question le maintien de l'exercice en commun de l'autorité parentale sur leurs deux enfants.</w:t>
      </w:r>
    </w:p>
    <w:p>
      <w:r>
        <w:t>Conformément à l'accord intervenu sur mesures provisionnelles et à l'avis du SEASP, il y a lieu de maintenir la garde alternée sur E______ convenue entre les parents, laquelle continuera à s'exercer, sauf accord contraire, une semaine sur deux du lundi à la sortie de l'école au lundi suivant au retour à l'école, les vacances étant partagées d'entente entre les parents et, à défaut, conformément aux modalités fixées par le premier juge au chiffre 4 du dispositif du jugement attaqué. L'appelant conclut à l'attribution à lui-même de la garde de D______, avec un droit de visite en faveur de la mère d'un week-end sur deux et de la moitié des vacances scolaires. L'intimée conclut au maintien de la garde alternée sur D______ instaurée par le Tribunal (ch. 4 du dispositif du jugement attaqué), et à ce que le père soit rappelé à ses devoirs découlant de l'art. 274 al. 1 CC, soit respecter la garde alternée s'agissant de E______ et D______, veiller à ne pas perturber les relations de la mère avec les enfants, ne pas rendre l'éducation plus difficile et respecter l'autorité parentale conjointe, sous menace de la peine prévue à l'art. 292 CP.</w:t>
      </w:r>
    </w:p>
    <w:p>
      <w:r>
        <w:rPr>
          <w:b/>
        </w:rPr>
        <w:t>E. 4.1.1</w:t>
      </w:r>
    </w:p>
    <w:p>
      <w:r>
        <w:t>Aux termes de l'art. 298 al. 2ter CC, lorsque l'autorité parentale est exercée conjointement, le juge examine, selon le bien de l'enfant, la possibilité de la garde alternée, si le père, la mère ou l'enfant la demande. Bien que l'autorité parentale conjointe soit désormais la règle et qu'elle comprenne le droit de déterminer le lieu de résidence de l'enfant (art. 296 al. 2 et 301a al. 1</w:t>
      </w:r>
    </w:p>
    <w:p>
      <w:r>
        <w:t>- 22/36 -</w:t>
      </w:r>
    </w:p>
    <w:p>
      <w:r>
        <w:t>C/4478/2021 CC), elle n'implique pas nécessairement l'instauration d'une garde alternée (ATF 142 III 617 consid. 3.2.3). Ainsi, la garde de fait sur l'enfant peut être attribuée à un seul des parents même lorsque l'autorité parentale demeure conjointe.</w:t>
      </w:r>
    </w:p>
    <w:p>
      <w:r>
        <w:t>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La volonté de l'enfant constitue l'un des éléments à prendre en considération, même si la réglementation ne saurait dépendre uniquement de ce seul critère, en particulier lorsque le comportement défensif de l'enfant envers un parent est principalement influencé par l'autre (cf. ATF 127 III 295 consid. 4a). L'âge de l'enfant, sa capacité à se forger une volonté autonome, ce qui est en règle générale le cas aux alentours de 12 ans révolus, ainsi que la constance de son avis, sont des</w:t>
      </w:r>
    </w:p>
    <w:p>
      <w:r>
        <w:t>- 23/36 -</w:t>
      </w:r>
    </w:p>
    <w:p>
      <w:r>
        <w:t>C/4478/2021 éléments centraux pour apprécier le poids qu'il convient de donner à son avis (cf. arrêt du Tribunal fédéral 5A_192/2021 du 18 novembre 2021 consid. 4.1 et les références citées).</w:t>
      </w:r>
    </w:p>
    <w:p>
      <w:r>
        <w:t>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rPr>
          <w:b/>
        </w:rPr>
        <w:t>E. 4.1.2</w:t>
      </w:r>
    </w:p>
    <w:p>
      <w:r>
        <w:t>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 des parents étant relégué à l'arrière-plan (ATF 142 III 617 consid. 3.2.3; arrêts du Tribunal fédéral 5A_669/2019 et 5A_684/2019 du 7 février 2020 consid. 6.3).</w:t>
      </w:r>
    </w:p>
    <w:p>
      <w:r>
        <w:rPr>
          <w:b/>
        </w:rPr>
        <w:t>E. 4.1.3</w:t>
      </w:r>
    </w:p>
    <w:p>
      <w:r>
        <w:t>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(arrêts du Tribunal fédéral 5A_277/2021 du 30 novembre 2021 consid. 4.1.2; 5A_381/2020 du 1er septembre 2020 consid. 4.1). Le juge n'est pas lié par les conclusions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 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w:t>
      </w:r>
    </w:p>
    <w:p>
      <w:r>
        <w:t>- 24/36 -</w:t>
      </w:r>
    </w:p>
    <w:p>
      <w:r>
        <w:t>C/4478/2021 dénotent souvent une grande expérience en la matière, mais ne sauraient remplacer le pouvoir de décision du juge (ACJC/1311/2017 du 11 octobre 2017 consid. 3.1.2).</w:t>
      </w:r>
    </w:p>
    <w:p>
      <w:r>
        <w:rPr>
          <w:b/>
        </w:rPr>
        <w:t>E. 4.1.4</w:t>
      </w:r>
    </w:p>
    <w:p>
      <w:r>
        <w:t>Selon l'art. 274 al. 1 CC, le père et la mère doivent veiller à ne pas perturber les relations de l’enfant avec l’autre parent et à ne pas rendre l’éducation plus difficile. L’autorité de protection de l’enfant, ou le juge du divorce, prend les mesures nécessaires pour protéger l’enfant si son développement est menacé et que les père et mère n’y remédient pas d’eux-mêmes ou soient hors d’état de le faire (art. 307 al. 1 et 315a al. 1 CC). Parmi les mesures de protection de l'enfant prévues de manière générale à l'art. 307 al. 1 CC, le juge peut notamment, en application de l'art. 307 al. 3 CC, donner des instructions aux père et mère ou à l'enfant et, en particulier, ordonner la mise en place d'une thérapie (cf. aussi art. 273 al. 2 CC; ATF 142 III 197 consid. 3.7; arrêts du Tribunal fédéral 5A_415/2020 du 18 mars 2021 consid. 6.1; 5A_887/2017 du 16 février 2018 consid. 5.1 et les références; 5A_615/2011 du</w:t>
      </w:r>
    </w:p>
    <w:p>
      <w:r>
        <w:rPr>
          <w:b/>
        </w:rPr>
        <w:t>E. 4.2</w:t>
      </w:r>
    </w:p>
    <w:p>
      <w:r>
        <w:t>En l'espèce, depuis septembre 2022, le mineur D______ vit avec son père et les relations personnelles entre l'enfant et sa mère sont inexistantes depuis huit mois. Les parents disposent tous deux de capacités éducatives et ont une capacité suffisante et la volonté de communiquer et coopérer, ce qu'ils ont fait pour les deux enfants et qu'ils continuent à faire pour leur fille. Cela étant, D______, qui aura 14 ans en août prochain, a exprimé de manière constante son opposition à une garde alternée et son souhait de continuer à vivre chez son père et ce, en raison d'un besoin de stabilité, reconnu par le SEASP. Il est vrai que les constatations et analyses de ce Service (fondées notamment sur les déclarations de l'enfant) amènent à douter de la capacité et de la volonté du père de favoriser les contacts mère/enfant et ne permettent pas d'exclure que le comportement défensif de D______ envers sa mère soit en partie influencé par le père. Cependant, il n'est pas possible de passer outre l'avis de l'enfant, compte tenu de son âge et du fait que sa capacité à se forger une volonté autonome n'est pas mise en doute. Dans ces conditions, il y a lieu de suivre le préavis du SEASP et d'attribuer la garde de D______ au père, point sur lequel les parents se sont d'ailleurs accordés sur mesures provisionnelles. Compte tenu des difficultés mises en évidence, la curatelle ad hoc ordonnée par la Cour le 8 novembre 2022 sera maintenue. Le droit de visite de la mère sera fixé comme préconisé par le SEASP : il sera organisé d'entente entre la mère, l'enfant et la curatrice, mais s'exercera au minimum un week-end sur deux et durant la moitié des vacances scolaires. La reprise du lien mère/fils passera, en premier lieu, par [l'unité de médiation] de l'association R______ ou par tout autre lieu choisi par la curatrice. Il sera à nouveau donné acte aux parents de leur engagement d'entreprendre un travail en coparentalité auprès de ladite association ou tout autre lieu choisi par la curatrice. L'extension de la curatelle ad hoc afin d'accompagner et d'organiser ce travail en coparentalité sera également confirmée et le présent arrêt sera transmis au Tribunal de protection de l'adulte et de l'enfant, afin qu'il confirme à la curatrice sa mission. La Cour, avec le SEASP et la curatrice ad hoc, partira du principe que l'appelant s'efforcera d'encourager D______ à reprendre ses relations personnelles avec sa mère et que le travail mis en place auprès de R______ facilitera la situation et guidera les deux parents. La Cour renoncera ainsi à ce stade à ordonner des mesures de protection plus drastiques en faveur de l'adolescent. Si le père devait renforcer une position de rupture, il appartiendra à la curatrice ou à la mère de saisir le Tribunal de protection de l'adulte et de l'enfant (art. 315a al. 3 ch. 2 et 315b al. 2 CC). Le chiffre 4 du dispositif du jugement attaqué sera annulé (par souci de clarté, entièrement également en ce qu'il vise E______) et il sera statué dans le sens qui précède.</w:t>
      </w:r>
    </w:p>
    <w:p>
      <w:r>
        <w:t>- 26/36 -</w:t>
      </w:r>
    </w:p>
    <w:p>
      <w:r>
        <w:t>C/4478/2021</w:t>
      </w:r>
    </w:p>
    <w:p>
      <w:r>
        <w:rPr>
          <w:b/>
        </w:rPr>
        <w:t>E. 5</w:t>
      </w:r>
    </w:p>
    <w:p>
      <w:r>
        <w:t>L'appelant soutient que l'intimée serait en mesure d'obtenir un revenu de 8'000 fr. et de subvenir à ses propres besoins, ainsi qu'à ceux de E______ lorsque celle-ci se trouve chez elle. Il fait valoir que l'intimée peut par conséquent également lui verser une contribution à l'entretien de D______, qui doit comprendre la base mensuelle OP (600 fr.), la participation au loyer (selon l'appelant 15 % de 1'988 fr. soit 298 fr. 20), les primes d'assurance-maladie (213 fr. 90), les frais de transports publics (40 fr) et les frais de loisirs (176 fr. pour les cours de tennis et de tir), dont à déduire 300 fr. d'allocations familiales. Il conclut donc à la condamnation de l'intimée à lui verser, par mois et d'avance, allocations familiales non comprises, une contribution à l'entretien de D______ de 1'030 fr. jusqu'à l'âge de 16 ans et de 1'300 fr. de 16 à 25 ans. Il demande en outre à la Cour de constater que les allocations familiales relatives à D______ lui reviennent entièrement, qu'il ne doit à l'intimée aucune contribution à l'entretien de E______ et que les allocations familiales relatives à E______ seront versées à chacune des parties par moitié. L'intimée conclut à la confirmation du jugement attaqué et ne conteste pas les calculs du Tribunal. En dernier lieu, elle se borne à alléguer nouvellement 6'018 fr. 15 de charges mensuelles actuelles (comprenant divers postes liés à l'exercice de son activité dans le canton de Neuchâtel non allégués devant le Tribunal et des postes allégués en première instance écartées par le Tribunal) et à prétendre ne pas être en mesure de les couvrir avec ses revenus.</w:t>
      </w:r>
    </w:p>
    <w:p>
      <w:r>
        <w:rPr>
          <w:b/>
        </w:rPr>
        <w:t>E. 5.1.1</w:t>
      </w:r>
    </w:p>
    <w:p>
      <w:r>
        <w:t>Aux termes de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des père et mère dure jusqu'à la majorité de l'enfant (art. 277 al. 1 CC).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w:t>
      </w:r>
    </w:p>
    <w:p>
      <w:r>
        <w:rPr>
          <w:b/>
        </w:rPr>
        <w:t>E. 5.1.1.1</w:t>
      </w:r>
    </w:p>
    <w:p>
      <w:r>
        <w:t>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w:t>
      </w:r>
    </w:p>
    <w:p>
      <w:r>
        <w:t>- 27/36 -</w:t>
      </w:r>
    </w:p>
    <w:p>
      <w:r>
        <w:t>C/4478/2021 argent incombe en principe entièrement à l'autre parent (ATF 147 III 265 consid. 5.5).</w:t>
      </w:r>
    </w:p>
    <w:p>
      <w:r>
        <w:rPr>
          <w:b/>
        </w:rPr>
        <w:t>E. 5.1.1.2</w:t>
      </w:r>
    </w:p>
    <w:p>
      <w:r>
        <w:t>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du Tribunal fédéral 5A_926/2019 du 30 juin 2020 consid. 6.3; 5A_1032/2019 du</w:t>
      </w:r>
    </w:p>
    <w:p>
      <w:r>
        <w:rPr>
          <w:b/>
        </w:rPr>
        <w:t>E. 5.1.2</w:t>
      </w:r>
    </w:p>
    <w:p>
      <w:r>
        <w:t>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w:t>
      </w:r>
    </w:p>
    <w:p>
      <w:r>
        <w:t>Dans trois arrêts publiés (ATF 147 III 265 in SJ 2021 I 316; 147 III 293; 147 III 301),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du 1er novembre 2018 consid. 3.1.3). Selon cette méthode, il convient, d'une part, de déterminer les moyens financiers à disposition, à savoir les revenus effectifs ou hypothétiques et, d'autre part, de déterminer les besoins de la personne dont l'entretien est examiné (entretien</w:t>
      </w:r>
    </w:p>
    <w:p>
      <w:r>
        <w:t>- 28/36 -</w:t>
      </w:r>
    </w:p>
    <w:p>
      <w:r>
        <w:t>C/4478/2021 convenable).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(ATF 147 III 265 précité consid. 7).</w:t>
      </w:r>
    </w:p>
    <w:p>
      <w:r>
        <w:t>Les besoins des parties sont calculés en partant du minimum vital au sens du droit des poursuites (art. 93 LP). Celui-ci comprend le montant de base fixé par les normes d'insaisissabilité (NI 2023, RS/GE E 3 60.04). Sont inclus dans ce montant les frais pour l’alimentation, les vêtements et le linge, y compris leur entretien, les soins corporels et de santé, l’entretien du logement, les assurances privées, les frais culturels ainsi que les dépenses pour l’éclairage, le courant électrique ou le gaz pour la cuisine, etc. S’ajoutent audit montant différents frais supplémentaires, à savoir les frais de logement effectifs ou raisonnables (y compris les charges et les frais de chauffage), les coûts de santé, tels que les primes d'assurance-maladie obligatoire, les frais de transports publics et les frais professionnels (ATF 147 III 265 consid. 7.2; LEUBA/MEIER/PAPAUX VAN DELDEN, Droit du divorce, 2021, p. 310 à 314). Lorsque les moyens financiers le permettent, l'entretien convenable doit être étendu au minimum vital du droit de la famille, lequel comprend notamment les acomptes d'impôts et les primes d'assurances non obligatoires. Les frais de voyage et de loisirs ne sont pas pris en compte, leur financement devant intervenir au moyen de la répartition de l'excédent (ATF 147 III 265 consid. 7.2).</w:t>
      </w:r>
    </w:p>
    <w:p>
      <w:r>
        <w:t>S'il reste un excédent après couverture du minimum vital du droit de la famille, il sera réparti en équité entre les ayants droits (ATF 147 III 265 consid. 7.3 et 8.3.2).</w:t>
      </w:r>
    </w:p>
    <w:p>
      <w:r>
        <w:rPr>
          <w:b/>
        </w:rPr>
        <w:t>E. 5.1.3</w:t>
      </w:r>
    </w:p>
    <w:p>
      <w:r>
        <w:t>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5A_963/2018 du 23 mai 2019 consid. 3.3.3).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 du Tribunal fédéral 5A_514/2020 du 2 décembre 2020 consid. 3.1.2). Lorsqu'il entend tenir compte d'un revenu hypothétique, le juge doit examiner si le conjoint concerné est en mesure de se le procurer et si l'on peut raisonnablement</w:t>
      </w:r>
    </w:p>
    <w:p>
      <w:r>
        <w:t>- 29/36 -</w:t>
      </w:r>
    </w:p>
    <w:p>
      <w:r>
        <w:t>C/4478/2021 l'exiger de lui, ces deux conditions étant cumulatives (ATF 143 III 233 consid. 3.2; arrêt du Tribunal fédéral 5A_253/2020 du 25 mars 2021 consid. 3.1.2 et les arrêts cités). Lorsqu'on exige d'une personne qu'elle reprenne ou étende une activité lucrative, il y a en principe lieu de lui accorder un délai d'adaptation approprié aux circonstances pour lui permettre de s'y conformer. Il n'est donc en principe pas possible de lui imputer un revenu hypothétique avec effet rétroactif (arrêts du Tribunal fédéral 5A_720/2011 du 8 mars 2012 consid. 6.1; 5P.79/2004 du 10 juin 2004 consid. 4.3; 5P.95/2003 du 28 avril 2003 consid. 2.3; ATF 137 III 118; 129 III 417 consid. 2.2 = JdT 2004 I 115; 128 III 4 consid. 4c/bb = JdT 2002 I 294). L'imputation d'un revenu hypothétique avec effet rétroactif n'est admissible que dans l'hypothèse où le débiteur d'aliments a volontairement renoncé à une partie de ses ressources alors qu'il se savait, ou devait se savoir, débiteur d'une obligation d'entretien (arrêt du Tribunal fédéral 5A_720/2011 précité consid. 6.1).</w:t>
      </w:r>
    </w:p>
    <w:p>
      <w:r>
        <w:rPr>
          <w:b/>
        </w:rPr>
        <w:t>E. 5.2</w:t>
      </w:r>
    </w:p>
    <w:p>
      <w:r>
        <w:t>Il y lieu d'adapter la méthode de calcul préconisée par le Tribunal fédéral aux particularités du cas d'espèce, notamment de la répartition de la prise en charge des enfants. L'obligation d'entretien en argent à l'égard de D______ incombe en principe entièrement à la mère. En revanche, chaque partie doit contribuer selon sa capacité contributive à l'entretien de E______. Il y a donc lieu de déterminer, pour chacun des parents, le montant du revenu qui dépasse ses propres besoins.</w:t>
      </w:r>
    </w:p>
    <w:p>
      <w:r>
        <w:rPr>
          <w:b/>
        </w:rPr>
        <w:t>E. 5.2.1</w:t>
      </w:r>
    </w:p>
    <w:p>
      <w:r>
        <w:t>Le revenu mensuel net de l'appelant s'élève à 9'087 fr. Ses charges comprennent actuellement 1'350 fr. de base mensuelle OP, 1'583 fr. de loyer (75% de 1'863 fr.), 669 fr. de primes d'assurance-maladie obligatoire et complémentaire, et 70 fr. de frais de transports publics. L'appelant ne revient pas sur les postes exclus par le premier juge. Le total de ses charges mensuelles est donc de l'ordre de 3'670 fr., hors impôts. Le solde mensuel disponible de l'appelant est ainsi de l'ordre de 5'400 fr., dont à déduire la moitié de la base mensuelle OP de E______, qui aura 10 ans le 24 mars 2024 (200 fr., puis 300 fr. dès avril 2024), ce qui lui laissera un solde de 5'200 fr., puis de 5'100 fr.</w:t>
      </w:r>
    </w:p>
    <w:p>
      <w:r>
        <w:rPr>
          <w:b/>
        </w:rPr>
        <w:t>E. 5.2.2</w:t>
      </w:r>
    </w:p>
    <w:p>
      <w:r>
        <w:t>Après avoir travaillé 11 ans dans le domaine bancaire, l'intimée a été licenciée puis s'est retrouvée au chômage. Sa reconversion professionnelle a été décidé d'un commun accord par les parties lors de la vie commune. L'intimée a suivi une formation de podologue de trois ans et a obtenu en août 2020 un diplôme de l'école supérieure de podologues de Genève. Elle exerce cette profession depuis bientôt trois ans. Compte tenu de ses obligations d'entretien, l'intimée doit s'organiser afin de développer son activité dans le canton de Genève, ce qui diminuera ses charges professionnelles (loyer supplémentaire, abonnement général CFF et autres frais allégués liés à l'exercice de la profession dans le canton</w:t>
      </w:r>
    </w:p>
    <w:p>
      <w:r>
        <w:t>- 30/36 -</w:t>
      </w:r>
    </w:p>
    <w:p>
      <w:r>
        <w:t>C/4478/2021 de Neuchâtel). Une femme de 43 ans bénéficiant d'une formation professionnelle supérieure et de 3 années de service, exerçant à Genève une profession intermédiaire de la santé sans fonction de cadre à raison de 40 heures par semaine est en mesure de réaliser, comme salariée, un revenu mensuel brut de 5'700 fr. (valeur centrale; cf. Salarium - Calculateur statistique des salaires 2020). Cela étant, lors de l'audience de la Cour du 3 novembre 2022, l'intimée a reconnu que, comme podologue indépendante, elle pourrait gagner mensuellement 6'000 fr. à 8'000 fr. nets. C'est ainsi un revenu hypothétique de 7'000 fr. nets qui sera imputé à l'intimée. Ce revenu est comparable à celui qu'elle réalisait lorsqu'elle travaillait dans le domaine bancaire. Un délai d'adaptation au 1er octobre 2023 lui sera accordé, étant relevé, d'une part, que l'intéressée a indiqué au SEASP qu'elle était en train de renforcer son ancrage à Genève et, d'autre part, qu'à partir de cette date (échéance du bail actuel qu'elle a résilié) elle devrait renoncer à louer un logement à Neuchâtel. Les charges mensuelles de l'intimée comprendront 1'350 fr. de base mensuelle OP, 1'095 fr. de charges liées à son logement et 500 fr. de primes d'assurance- maladie. L'intimée conclut à la confirmation du jugement attaqué et ne critique pas les calculs du Tribunal, qui a exclu de ses charges certains postes qu'elle avait allégués lors de l'audience du 30 août 2021. Il n'y a donc pas lieu d'y revenir. Les charges admissibles de l'intimée, compte tenu des frais de transports publics à Genève (70 fr.) représenteront ainsi 3'015 fr. par mois à compter du 1er octobre 2023, hors impôts. L'intimée bénéficiera d'un disponible de l'ordre de 4'000 fr., dont à déduire la moitié de la base mensuelle OP de E______ (200 fr., puis 300 fr. dès avril 2024), ce qui lui laissera un solde de 3'800 fr., puis de 3'700 fr.</w:t>
      </w:r>
    </w:p>
    <w:p>
      <w:r>
        <w:rPr>
          <w:b/>
        </w:rPr>
        <w:t>E. 5.2.3</w:t>
      </w:r>
    </w:p>
    <w:p>
      <w:r>
        <w:t>Les charges mensuelles de D______ comprennent 600 fr. de base mensuelle OP, 280 fr. de participation au loyer du père (15 % de 1'863 fr.) 214 fr. de primes d'assurance-maladie, 40 fr. de frais de transports publics, dont à déduire 300 fr. d'allocations familiales, soit approximativement 830 fr. Les frais de loisirs allégués par le père totalisent 176 fr. Les charges mensuelles de E______, sans la base mensuelle OP et sans la participation aux charges de logement des parents (éléments déjà intégrés dans le budget des parents) comprennent 197 fr. de primes d'assurance-maladie, 40 fr. de frais de transports publics, 204 fr. pour le parascolaire, 133 fr. pour le restaurant scolaire, soit approximativement 270 fr., allocations familiales de 300 fr. déduites. Le père allègue en plus 209 fr. pour les loisirs.</w:t>
      </w:r>
    </w:p>
    <w:p>
      <w:r>
        <w:rPr>
          <w:b/>
        </w:rPr>
        <w:t>E. 5.2.4</w:t>
      </w:r>
    </w:p>
    <w:p>
      <w:r>
        <w:t>Dans la mesure où le disponible mensuel de l'appelant est sensiblement plus élevé que celui de la mère, il se justifie de lui faire supporter les frais de loisirs des enfants (176 fr. + 209 fr.) ainsi que la totalité des charges courantes de E______</w:t>
      </w:r>
    </w:p>
    <w:p>
      <w:r>
        <w:t>- 31/36 -</w:t>
      </w:r>
    </w:p>
    <w:p>
      <w:r>
        <w:t>C/4478/2021 (270 fr. hors participation aux frais de logement des parents et hors base mensuelle d'entretien). Compte tenu des principes et éléments qui précèdent et en équité, l'intimée sera condamnée à verser à l'appelant, par mois et d'avance à compter du 1er octobre 2023, allocations familiales non comprises, une contribution de 850 fr. à l'entretien de D______, jusqu'à sa majorité et au-delà en cas de formation ou études sérieuses et régulières. Cette contribution couvre la totalité des besoins courants de l'enfant, hors frais de loisirs. Il sera précisé que l'appelant continuera à percevoir les allocations familiales des deux enfants et qu'il prendra à sa charge la totalité des frais d'entretien courant des deux enfants, y compris les frais de loisirs. Le chiffre 7 du dispositif du jugement attaqué sera modifié en conséquence. Le chiffre 8 du même dispositif, relatif aux frais et besoins extraordinaires imprévus des mineurs, n'est pas contesté. Il restera suffisamment de disponible aux parties pour faire face à leur charge fiscale. Jusqu'au 30 septembre 2023, les contributions d'entretien resteront réglées par l'arrêt sur mesures provisionnelles rendu par la Cour le 28 mars 2023. 6. Se pose la question du domicile légal des enfants. 6.1 L'enfant sous autorité parentale conjointe partage le domicile de ses père et mère ou, en l'absence de domicile commun des père et mère, le domicile de celui des parents qui détient la garde; subsidiairement, son domicile est déterminé par le lieu de résidence (art. 25 al. 1 CC).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et 158).</w:t>
      </w:r>
    </w:p>
    <w:p>
      <w:r>
        <w:t>6.2 En l'occurrence, compte tenu du fait que la garde de D______ est attribuée au père et que celui-ci assumera une part prépondérante des frais d'entretien de</w:t>
      </w:r>
    </w:p>
    <w:p>
      <w:r>
        <w:t>- 32/36 -</w:t>
      </w:r>
    </w:p>
    <w:p>
      <w:r>
        <w:t>C/4478/2021 E______, il y a lieu de fixer le domicile des deux enfants auprès de l'appelant, qui recevra ainsi toutes les factures les concernant. Le chiffre 5 du dispositif du jugement attaqué sera modifié en conséquence. 7. Les parties sont en désaccord également sur l'attribution de la bonification pour tâches éducatives. 7.1 Selon l'art. 52fbis RAVS,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(al. 1). Le tribunal ou l'autorité de protection de l'enfant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(al. 2). Selon la fiche thématique "Bonifications pour tâches éducatives" de l'AVS/AI disponible sur le site internet "https://www.ahv-iv.ch/p/1.07.f", les dispositions actuelles de la loi AVS prévoient que lors du calcul de la rente, d'éventuelles bonifications pour tâches éducatives peuvent être prises en compte. Ces bonifications ne sont pas des paiements en espèces, mais des revenus fictifs qui ne seront pris en compte qu'ultérieurement, au moment du calcul de la rente. De la sorte, les personnes qui ont des enfants à charge de moins de 16 ans ont la possibilité de recevoir une rente plus élevée. Le critère déterminant du droit à la bonification pour tâches éducatives est l'autorité parentale et si celle-ci est exercée conjointement par les deux parents, la prise en compte de la bonification pour tâches éducatives va dépendre du fait de savoir si les parents sont mariés, divorcés, ou "pas mariés ensemble", ainsi que de la mesure dans laquelle ils exercent l'autorité parentale à l'endroit des enfants communs. Pour les couples mariés, les bonifications pour tâches éducatives sont (obligatoirement) partagées par moitié durant les années civiles de mariage commun, pour autant que les deux conjoints soient assurés en Suisse. Si un seul des conjoints est assuré, la totalité de la bonification pour tâches éducatives est attribuée à celui-ci. Lors de chaque décision inhérente à l'autorité parentale conjointe, à l'attribution de la garde ou à la répartition des tâches, le tribunal ou l'autorité de protection de l'enfant et de l'adulte (APEA) décident également d'office de l'attribution des bonifications pour tâches éducatives. A cet effet, c'est au regard des tâches éducatives assumées pour les enfants communs qu'elles se prononcent sur le sort des bonifications pour tâches éducatives, les attribuant soit entièrement à l'un ou à</w:t>
      </w:r>
    </w:p>
    <w:p>
      <w:r>
        <w:t>- 33/36 -</w:t>
      </w:r>
    </w:p>
    <w:p>
      <w:r>
        <w:t>C/4478/2021 l'autre des parents, soit par moitié à chacun d'eux (ACJC/896/2020 du 23 juin 2020 consid. 4.1; ACJC/1871/2019 du 13 décembre 2019 consid. 7.1). 7.2 En l'espèce, compte tenu de la garde alternée exercée sur E______ et du fait qu'un retour à la garde alternée sur D______ est envisageable à moyen terme, il est équitable d'attribuer les bonifications pour tâches éducatives par moitié à chacune des parties. Le chiffre 6 du dispositif du jugement attaqué sera donc confirmé. 8. 8.1 Dès lors qu'il s'agit d'un litige relevant du droit de la famille, la solution prévue par le premier juge, à savoir une répartition par moitié des frais judiciaires et la prise en charge par les parties de leurs propres dépens, apparaît adéquate et équitable (art. 107 al. 1 let. c et 308 al. 3 CPC), de sorte qu'elle sera confirmée (chiffres 9 et 10 du dispositif du jugement attaqué).</w:t>
      </w:r>
    </w:p>
    <w:p>
      <w:r>
        <w:t>8.2 Les frais judiciaires de la procédure d'appel seront fixés à 4'000 fr., y compris ceux relatifs aux décisions rendues sur mesures superprovisionnelles et provisionnelles (art. 30, 31, 35 et 37 RTFMC) et compensés avec les avances effectuées par les parties (2'000 fr. par l'appelant et 1'000 fr. par l'intimée), acquises à l'Etat de Genève (art. 111 al. 1 CPC). Compte tenu de la nature et de l'issue du litige, lesdits frais judiciaires seront répartis à parts égales entre les parties et chaque partie supportera ses propres dépens d'appel (art. 106 al. 2 et 107 al. 1 let. c CPC).</w:t>
      </w:r>
    </w:p>
    <w:p>
      <w:r>
        <w:t>L'intimée sera donc condamnée à verser à l'Etat de Genève, soit pour lui les Services financiers du Pouvoir judiciaire, 1'000 fr. à titre de frais judiciaires d'appel. * * * * *</w:t>
      </w:r>
    </w:p>
    <w:p>
      <w:r>
        <w:t>- 34/36 -</w:t>
      </w:r>
    </w:p>
    <w:p>
      <w:r>
        <w:t>C/4478/2021 PAR CES MOTIFS, La Chambre civile : A la forme : Déclare recevable l'appel interjeté le 23 mai 2022 par A______ contre les chiffres 4 à 7 du dispositif du jugement JTPI/4824/2022 rendu le 20 avril 2022 par le Tribunal de première instance dans la cause C/4478/2021. Donne acte à B______ de ce qu'elle a retiré l'appel joint formé le 7 juillet 2022. Sur le fond : Annule les chiffres 4, 5 et 7 du dispositif du jugement attaqué et, statuant à nouveau sur ces points : Attribue à A______ la garde de D______, né le ______ 2009. Réserve à B______ un droit de visite sur son fils D______, qui s'organisera d'entente entre la mère et le fils, mais s'exercera au minimum un week-end sur deux et durant la moitié des vacances scolaires. Maintient la curatelle ad hoc instaurée par arrêt ACJC/1449/2022 de la Cour de justice du 8 novembre 2022, afin d'organiser la mise en place et la surveillance de la reprise du lien entre B______ et D______. Dit que la reprise de lien passera, en premier lieu, par un espace thérapeutique comme [l'unité de médiation] de l'association R______ ou tout autre lieu choisi par la curatrice. Donne acte à B______ et à A______ de leur engagement d'entreprendre un travail en coparentalité auprès de [l'unité de médiation] de l'association R______ ou tout autre lieu choisi par la curatrice et les y condamne en tant que de besoin. Maintient l'extension de la curatelle ad hoc afin d'accompagner et d'organiser ce travail en coparentalité. Transmet la présente décision au Tribunal de protection de l'adulte et de l'enfant, afin qu'il instruise la curatrice de sa mission. Maintient la garde alternée sur E______, née le ______ 2014, convenue entre les parents, laquelle s'exercera, sauf accord contraire, une semaine sur deux du lundi à la sortie de l'école au lundi suivant au retour à l'école. Donne acte aux parents de ce qu'ils conviendront d'un calendrier relatif aux vacances scolaires de leur fille E______ et qu'à défaut d'accord les années paires, le père aura</w:t>
      </w:r>
    </w:p>
    <w:p>
      <w:r>
        <w:t>- 35/36 -</w:t>
      </w:r>
    </w:p>
    <w:p>
      <w:r>
        <w:t>C/4478/2021 l'enfant la totalité des vacances de février, la deuxième moitié des vacances de Pâques, la deuxième moitié des vacances d'été (août) et la première moitié des vacances de Noël (Nativité incluse), et la mère pour le solde des vacances et que les années impaires, le père aura l'enfant la première moitié des vacances de Pâques, la première partie des vacances d'été (juillet), la totalité des vacances d'octobre et la deuxième semaine des vacances de Noël (Nouvel an inclus), et la mère pour le solde des vacances. Dit que D______ et E______ sont domiciliés auprès de A______. Condamne B______ à verser à A______, par mois et d'avance, allocations familiales non comprises, une contribution à l'entretien de D______ de 850 fr. à compter du 1er octobre 2023 et jusqu'à la majorité de l'enfant, voire au-delà en cas de formation ou d'études sérieuses et suivies. Dit que A______ conserve les allocations familiales perçues pour D______ et E______. Condamne A______ à prendre à sa charge la totalité des frais d'entretien courant des deux enfants, y compris les frais de loisirs. Confirme le jugement attaqué pour le surplus. Déboute les parties de toutes autres conclusions. Sur les frais : Arrête les frais judiciaires d'appel à 4'000 fr, les met à la charge de chacune des parties par moitié et les compense avec les avances effectuées, lesquelles demeurent acquises à l'Etat de Genève. Condamne en conséquence B______ à verser 1'000 fr. aux Services financiers du Pouvoir judiciaire. Dit que chaque parte supporte ses propres dépens d'appel. Siégeant : Monsieur Ivo BUETTI, président; Madame Sylvie DROIN, Monsieur Jean REYMOND, juges; Madame Gladys REICHENBACH, greffière.</w:t>
      </w:r>
    </w:p>
    <w:p>
      <w:r>
        <w:t>- 36/36 -</w:t>
      </w:r>
    </w:p>
    <w:p>
      <w:r>
        <w:t>C/4478/2021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9</w:t>
      </w:r>
    </w:p>
    <w:p>
      <w:r>
        <w:t>juin 2020 consid. 5.4.1; 5A_727/2018 du 22 août 2019 consid. 4.3.2.3 et les références). Chaque parent contribue en fonction de sa capacité contributive, laquelle correspond au montant du revenu qui dépasse ses propres besoins (arrêt du Tribunal fédéral 5A_117/2021 du 9 mars 2022 consid. 4.2). Les deux parents assument, en principe dans la mesure de leur part de prise en charge, des dépenses couvertes par le montant de base de l'enfant (nourriture, habillement, hygiène). En revanche, un seul des parents paie en principe les factures liées à des frais qui ne sont pas raisonnablement divisibles, tels que les primes d'assurance-maladie.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20 décembre 2020 consid. 6.3.1; 5A_743/2017 du 22 mai 2019 consid. 5.4.3). Même en cas de garde partagée,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