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ACJC/609/2015 vom 28. Mai 2015</w:t>
      </w:r>
    </w:p>
    <w:p>
      <w:r>
        <w:t>GE Cour de justice, 2015-05-28, FR</w:t>
      </w:r>
    </w:p>
    <w:p>
      <w:r>
        <w:rPr>
          <w:b/>
        </w:rPr>
        <w:t xml:space="preserve">Quelle: </w:t>
      </w:r>
      <w:r>
        <w:t>https://mcp.opencaselaw.ch/entscheid/ge_gerichte_ACJC_609_2015</w:t>
      </w:r>
    </w:p>
    <w:p>
      <w:r>
        <w:t>FR: GE_GERICHTE ACJC/609/2015 du 28 mai 2015</w:t>
      </w:r>
    </w:p>
    <w:p>
      <w:r>
        <w:t>IT: GE_GERICHTE ACJC/609/2015 del 28 maggio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l'appelante avait proposé, devant le Tribunal, de verser la somme de 485 fr. par mois pour l'entretien de la famille, alors que l'intimé a conclu à ce qu'elle soit condamnée à lui verser la somme de 800 fr. par mois. La valeur</w:t>
      </w:r>
    </w:p>
    <w:p>
      <w:r>
        <w:t>- 7/15 -</w:t>
      </w:r>
    </w:p>
    <w:p>
      <w:r>
        <w:t>C/15227/2014 litigieuse est ainsi largement supérieure à 10'000 fr. (315 fr. x 12 x 20) et la voie de l'appel est ouverte.</w:t>
      </w:r>
    </w:p>
    <w:p>
      <w:r>
        <w:rPr>
          <w:b/>
        </w:rPr>
        <w:t>E. 1.2</w:t>
      </w:r>
    </w:p>
    <w:p>
      <w:r>
        <w:t>L'appel a été interjeté dans le délai de dix jours dès réception du jugement critiqué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2ème éd., 2010, n. 2314 et 2416; RETORNAZ, L'appel et le recours, in Procédure civile suisse, 2010, p. 349 ss, n. 121). Les maximes d'office et inquisitoire illimitée sont applicables dans la mesure où le litige concerne des enfants mineurs (art. 296 al. 1 et 3 CPC), ce qui signifie que le juge n'est pas lié par les conclusions des parties (ATF 128 III 411 consid. 3.1; 120 II 229 consid. 1c). Ces maximes valent aussi en deuxième instance cantonale (TAPPY, Les procédures en droit matrimonial, in Procédure civile suisse, Neuchâtel 2010, p. 325).</w:t>
      </w:r>
    </w:p>
    <w:p>
      <w:r>
        <w:rPr>
          <w:b/>
        </w:rPr>
        <w:t>E. 1.4</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6, 7 et 10 du dispositif du jugement querellé, non remis en cause par l'appelante, sont entrés en force de chose jugée; en revanche, les ch. 8 et 9, relatifs aux frais de première instance, pourront encore être revus d'office en cas d'annulation de tout ou partie du jugement entrepris dans le cadre du présent appel (art. 318, al. 3 CPC).</w:t>
      </w:r>
    </w:p>
    <w:p>
      <w:r>
        <w:rPr>
          <w:b/>
        </w:rPr>
        <w:t>E. 1.5</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La cognition du juge est limitée à la simple vraisemblance des faits et à un examen sommaire du droit, l'exigence de célérité étant privilégiée par rapport à celle de sécurité (VOUILLOZ, Les procédures du droit de la famille, in Jusletter 11</w:t>
      </w:r>
    </w:p>
    <w:p>
      <w:r>
        <w:t>- 8/15 -</w:t>
      </w:r>
    </w:p>
    <w:p>
      <w:r>
        <w:t>C/15227/2014 octobre 2010, Rz n. 6; VETTERLI, Das Eheschutzverfahren nach der Schweizerischen Zivilprozessordnung, in FamPra.ch 2010, p. 787; HOHL, op. cit., n. 1901; HALDY, La nouvelle procédure civile suisse, 2009, p. 71).</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w:t>
      </w:r>
    </w:p>
    <w:p>
      <w:r>
        <w:rPr>
          <w:b/>
        </w:rPr>
        <w:t>E. 2.2</w:t>
      </w:r>
    </w:p>
    <w:p>
      <w:r>
        <w:t>En l'espèce, les pièces nouvelles produites par les parties sont recevables, en tant qu'elles se rapportent à leur situation financière, sur la base de laquelle est calculée la contribution due à l'entretien des deux enfants mineurs du couple.</w:t>
      </w:r>
    </w:p>
    <w:p>
      <w:r>
        <w:rPr>
          <w:b/>
        </w:rPr>
        <w:t>E. 3</w:t>
      </w:r>
    </w:p>
    <w:p>
      <w:r>
        <w:t>3.1.1 Si la suspension de la vie commune est fondée, le juge ordonne les mesures nécessaires pour les enfants mineurs d'après les dispositions sur les effets de la filiation (art. 176 al. 3 CC).</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minimum vital du débirentier au sens du droit des poursuites doit, en principe, être préservé (ATF 135 III 66 = JdT 2010 I 167; arrêt du Tribunal fédéral 5A_182/2012 du 24 septembre 2012 consid. 5.1).</w:t>
      </w:r>
    </w:p>
    <w:p>
      <w:r>
        <w:t>- 9/15 -</w:t>
      </w:r>
    </w:p>
    <w:p>
      <w:r>
        <w:t>C/15227/2014 3.1.2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les années 2014 et 2015, RS/GE E3.60.04, Partie I). A ce montant de base, l'on ajoute notamment les frais de logement, y compris l'entretien ordinaire du logement, le chauffage et les cotisations de caisse-maladie pour l'assurance de base obligatoire (Normes d'insaisissabilité pour les années 2014 et 2015, op. cit., ch. I et II; ATF 126 III 353 consid. 1a/aa; SJ 2012 II p. 119 ss ; BASTONS BULLETTI, L'entretien après le divorce : méthodes de calcul, montant et durée, in SJ 2007 II p. 84, p. 85 ss).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Seules les charges effectivement acquittées peuvent être prises en considération (ATF 121 III 20 consid. 3a; arrêt du Tribunal fédéral 5A_608/2014 du 16 décembre 2014 consid. 4.1).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p. 90).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w:t>
      </w:r>
    </w:p>
    <w:p>
      <w:r>
        <w:t>- 10/15 -</w:t>
      </w:r>
    </w:p>
    <w:p>
      <w:r>
        <w:t>C/15227/2014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t>3.2.1 En l'espèce, l'appelante réalise un revenu net mensuel d'environ 4'383 fr. Ce montant sera retenu dès lors que l'appelante n'a pas rendu vraisemblable que son employeur aurait mis un terme à son contrat de travail.</w:t>
      </w:r>
    </w:p>
    <w:p>
      <w:r>
        <w:t>Ses charges s'élèvent à 1'200 fr. à titre de montant de base selon les normes OP, 1'100 fr. à titre de loyer, 318 fr. 30 à titre d'assurance-maladie et 70 fr. à titre de frais de transport.</w:t>
      </w:r>
    </w:p>
    <w:p>
      <w:r>
        <w:t>Les frais d'électricité sont déjà compris dans le montant de base selon les normes OP et ne seront donc pas pris en compte. Etant donné la situation financière du couple, ni les impôts, ni les primes d'assurances complémentaires ne seront pris en compte.</w:t>
      </w:r>
    </w:p>
    <w:p>
      <w:r>
        <w:t>S'agissant des frais relatifs au droit de visite, l'appelante admet qu'elle emprunte en général le véhicule privé de tiers (famille, collègue, etc.) et qu'elle n'a pris le train qu'à de rares occasions. Dès lors, n'étant pas des charges effectives, ces frais ne seront pas retenus.</w:t>
      </w:r>
    </w:p>
    <w:p>
      <w:r>
        <w:t>Le disponible de l'appelante est donc d'environ 1'694 fr.</w:t>
      </w:r>
    </w:p>
    <w:p>
      <w:r>
        <w:t>3.2.2 L'intimé a un revenu net mensuel d'environ 4'234 fr. La Cour de céans ne retiendra pas à sa charge de revenu hypothétique plus important. En effet, l'intimé, âgé de 48 ans, a rendu vraisemblable qu'il avait effectué des missions temporaires afin de percevoir des gains accessoires et activement mais en vain recherché du travail. En outre, les besoins financiers des enfants du couple sont couverts par les disponibles des époux, au moyen de leurs revenus actuels. Ses charges s'élèvent à 1'350 fr. à titre de montant de base selon les normes OP, 858 fr. 90 à titre de charges de la maison, soit 70% des intérêts hypothécaires, charges de la PPE et impôts fonciers (698 fr. 30 + 500 fr. + 28 fr. 33), et 339 fr. 35 à titre d'assurance-maladie. Les frais d'électricité ne seront pas pris en compte, puisqu'ils le sont dans le montant de base selon les normes OP. Le disponible de l'intimé s'élève donc à 1'685 fr.</w:t>
      </w:r>
    </w:p>
    <w:p>
      <w:r>
        <w:t>- 11/15 -</w:t>
      </w:r>
    </w:p>
    <w:p>
      <w:r>
        <w:t>C/15227/2014 3.2.3 Les charges de C______ s'élèvent à 600 fr. à titre de montant de base selon les normes OP, 184 fr. 05 à titre de participation aux charges de la maison (15%) et 160 fr. 85 à titre d'assurance-maladie. En tenant compte des 200 fr. d'allocations familiales, son découvert mensuel est d'environ 745 fr. Les frais de train et de repas au gymnase ne résultant pas des pièces du dossier ne seront pas pris en compte. Les charges de D______ s'élèvent à 600 fr. à titre de montant de base selon les normes OP, 184 fr. 05 à titre de participation aux charges de la maison (15%) et 167 fr. 80 à titre d'assurance-maladie. En tenant compte des 200 fr. d'allocations familiales, son découvert mensuel est d'environ 752 fr. Les frais de lunettes, non démontrés ni chiffrés, ne seront pas pris en compte. 3.2.4 Conformément aux principes rappelés ci-dessus, l'intimé fournira principalement aux enfants des soins et de l'éducation, alors que l'appelante, qui n'a pas la garde des enfants, contribuera par des prestations financières. Dès lors, il y a lieu d'imposer à l'appelante, dans la mesure de ses moyens financiers, de couvrir la majorité des besoins financiers des enfants, évalués à environ 1'500 fr. (745 fr. + 752 fr.). La Cour de céans confirmera donc la contribution d'entretien de 600 fr. par enfant, fixée par le Tribunal. En effet, l'appelante jouit, après paiement de ces contributions d'entretien, d'un disponible d'environ 500 fr. (1'694 fr. – 600 fr. – 600 fr.). Ce disponible n'est pas significativement inférieur au tiers du disponible du couple (1'694 fr. + 1'685 fr. – 745 fr. – 752 fr.), soit d'environ 600 fr. L'intimé devra, pour sa part, consacrer à ses enfants, en sus des soins et de l'éducation qu'il leur fournit, environ 300 fr. (745 fr. + 752 fr. – 600 fr. – 600 fr.) au titre de leurs besoins financiers essentiels et 600 fr. à titre de participation d'un tiers au disponible du couple. Il jouira donc d'un disponible d'environ 780 fr. (1'685 fr. – 300 fr. – 600 fr.). Le dies a quo de cette contribution fixée par le Tribunal au 1er décembre 2013, n'apparaît pas disproportionné, dans la mesure où cette date correspond au départ de l'appelante du domicile conjugal et qu'elle n'a pas démontré, sous réserve des considérations résultant des considérants qui suivent, avoir contribué à l'entretien de ses enfants depuis ce départ. Dès lors, le chiffre 5 du dispositif du jugement JTPI/15535/2014 sera confirmé, sous réserve des considérants subséquents.</w:t>
      </w:r>
    </w:p>
    <w:p>
      <w:r>
        <w:t>- 12/15 -</w:t>
      </w:r>
    </w:p>
    <w:p>
      <w:r>
        <w:t>C/15227/2014</w:t>
      </w:r>
    </w:p>
    <w:p>
      <w:r>
        <w:rPr>
          <w:b/>
        </w:rPr>
        <w:t>E. 4</w:t>
      </w:r>
    </w:p>
    <w:p>
      <w:r>
        <w:t>Demeure seule litigieuse la question si les différents paiements allégués par l'appelante (argent de poche, habits, abonnements de téléphone, intérêt hypothécaire, facture d'orthodontie et cadeaux pour les amis de D______) doivent être pris en compte, en déduction de la contribution fixée avec effet au 1er décembre 2013, soit si ces versements constituent une contribution d'entretien aux enfants du couple.</w:t>
      </w:r>
    </w:p>
    <w:p>
      <w:r>
        <w:rPr>
          <w:b/>
        </w:rPr>
        <w:t>E. 4.1</w:t>
      </w:r>
    </w:p>
    <w:p>
      <w:r>
        <w:t>Les frais de loisirs ou d'argent de poche ne constituent pas des charges incompressibles (ACJC/1526/2014 du 12 décembre 2014 consid. 5.3; ACJC/1208/2014 du 10 octobre 2014 consid. 4.3.1). Ainsi, l'argent de poche versé directement aux enfants ne constitue pas une contribution à l'entretien de la famille et ne peut pas être déduit des contributions d'entretien relatives au passé (ACJC/480/2014 du 11 avril 2014 consid. 6).</w:t>
      </w:r>
    </w:p>
    <w:p>
      <w:r>
        <w:t>Les frais d'habillement et de téléphone sont compris dans l'entretien de base (Normes d'insaisissabilité pour l'année 2015, op. cit., Partie I; ACJC/1208/2014 du 10 octobre 2014 consid. 4.3.1). Les charges immobilières prisent en compte dans la détermination du minimum vital comprennent les intérêts hypothécaires, les taxes de droit public et les coûts (moyens) d'entretien mais pas l'amortissement (Normes d'insaisissabilité pour l'année 2015, partie II, ch. 1).</w:t>
      </w:r>
    </w:p>
    <w:p>
      <w:r>
        <w:rPr>
          <w:b/>
        </w:rPr>
        <w:t>E. 4.2</w:t>
      </w:r>
    </w:p>
    <w:p>
      <w:r>
        <w:t>Conformément aux principes ci-dessus, les paiements de l'argent de poche des enfants du couple, dont le montant est au demeurant contesté, ne sauraient être pris en compte en déduction de la contribution d'entretien due par l'appelante.</w:t>
      </w:r>
    </w:p>
    <w:p>
      <w:r>
        <w:t>S'agissant des habits, la Cour considère que l'appelante n'a rendu vraisemblable ni que le montant de 89 fr. 90 dépensé par l'appelante dans un magasin H&amp;M le 29 janvier 2015 a effectivement été dépensé pour des habits des enfants, ni que ce montant est représentatif de ses dépenses en habillement pour les enfants du couple. Elle n'en tiendra dès lors pas compte.</w:t>
      </w:r>
    </w:p>
    <w:p>
      <w:r>
        <w:t>S'agissant des abonnements de téléphone, il s'agit d'une dépense relative à l'entretien. Alors que les frais relatifs aux abonnements des enfants apparaissent sur les factures de l'appelante, celle-ci n'a pas été en mesure de produire des factures relatives à une période postérieure à novembre 2013, soit avant le début de l'obligation d'entretien. Il n'en reste pas moins que l'intimé a reconnu, en septembre 2014, que l'appelante payait les frais de téléphone de ses fils. La Cour retiendra donc un montant de 1'440 fr., correspondant, entre décembre 2013 et mai 2015, aux frais de 40 fr. par enfant et par mois allégués par l'appelante. Etant donné les dépenses effectuées par les enfants entre septembre et novembre 2013, ce montant n'apparaît pas déraisonnable.</w:t>
      </w:r>
    </w:p>
    <w:p>
      <w:r>
        <w:t>- 13/15 -</w:t>
      </w:r>
    </w:p>
    <w:p>
      <w:r>
        <w:t>C/15227/2014</w:t>
      </w:r>
    </w:p>
    <w:p>
      <w:r>
        <w:t>Le 30 avril 2014, l'appelante a versé à la Banque Cantonale de Genève la somme de 1'248 fr. à titre de paiement d'amortissement direct sur le prêt de la maison familiale. Conformément aux principes rappelés ci-dessus, les amortissements ne font pas partie des charges incompressibles et leur paiement ne constitue donc pas une participation à la contribution d'entretien des enfants.</w:t>
      </w:r>
    </w:p>
    <w:p>
      <w:r>
        <w:t>S'agissant des frais d'orthodontie, l'appelante allègue y avoir participé à hauteur de 550 fr. alors que l'intimé allègue les payer seul. La participation de l'appelante n'ayant pas été rendue vraisemblable, notamment au moyen d'une preuve dudit versement, ce montant ne sera pas retenu.</w:t>
      </w:r>
    </w:p>
    <w:p>
      <w:r>
        <w:t>Concernant la participation de l'appelante aux frais des cadeaux faits par D______ à ses amis, elle ne relève, à l'évidence, pas des frais des enfants du couple et ne saurait donc être prise en compte dans les contributions d'entretien.</w:t>
      </w:r>
    </w:p>
    <w:p>
      <w:r>
        <w:rPr>
          <w:b/>
        </w:rPr>
        <w:t>E. 4.3</w:t>
      </w:r>
    </w:p>
    <w:p>
      <w:r>
        <w:t>Dès lors, le chiffre 5 du dispositif du jugement JTPI/15535/2014 sera annulé et l'appelante condamnée à verser, en mains de l'intimé, à titre de contribution à l'entretien de C______ et D______, par mois, d'avance et par enfant, allocations familiales non comprises, la somme de 600 fr. dès le 1er décembre 2013, sous déduction de la somme de 720 fr. pour chacun des enfants.</w:t>
      </w:r>
    </w:p>
    <w:p>
      <w:r>
        <w:rPr>
          <w:b/>
        </w:rPr>
        <w:t>E. 5.1</w:t>
      </w:r>
    </w:p>
    <w:p>
      <w:r>
        <w:t>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5.2</w:t>
      </w:r>
    </w:p>
    <w:p>
      <w:r>
        <w:t>Si l'instance d'appel statue à nouveau, elle se prononce sur les frais de la première instance (art. 318 al. 3 CPC).</w:t>
      </w:r>
    </w:p>
    <w:p>
      <w:r>
        <w:rPr>
          <w:b/>
        </w:rPr>
        <w:t>E. 5.3</w:t>
      </w:r>
    </w:p>
    <w:p>
      <w:r>
        <w:t>Il n'y a lieu de modifier ni le montant ni la répartition des frais de première instance.</w:t>
      </w:r>
    </w:p>
    <w:p>
      <w:r>
        <w:rPr>
          <w:b/>
        </w:rPr>
        <w:t>E. 5.4</w:t>
      </w:r>
    </w:p>
    <w:p>
      <w:r>
        <w:t>En l'espèce, les frais judiciaires de la procédure d'appel seront fixés à 800 fr. (art. 31 et 35 du Règlement fixant le tarif des frais en matière civile, RTFMC - E 1 05.10). Ils seront mis à la charge de l'appelante, qui succombe. L'appelante plaidant au bénéfice de l'assistance judiciaire, sa part de ces frais judiciaires sera provisoirement laissée à la charge de l'Etat (art. 122 al. 1 let. b et 123 CPC; art. 19 du Règlement sur l'assistance juridique (RAJ - E 2 05.04)). Chaque partie supportera par ailleurs ses propres dépens (art. 95 al. 3, 105 al. 2 et 107 al. 1 let. c CPC). * * * * *</w:t>
      </w:r>
    </w:p>
    <w:p>
      <w:r>
        <w:t>- 14/15 -</w:t>
      </w:r>
    </w:p>
    <w:p>
      <w:r>
        <w:t>C/15227/2014 PAR CES MOTIFS, La Chambre civile : A la forme : Déclare recevable l'appel interjeté par A______ le 19 décembre 2014 contre le chiffre 5 du dispositif du jugement JTPI/15535/2014 rendu le 5 décembre 2014 par le Tribunal de première instance dans la cause C/15227/2014-6. Au fond : Annule le chiffre 5 du dispositif du jugement JTPI/15535/2014. Cela fait et statuant à nouveau : Condamne A______ à verser, en mains de B______, à titre de contribution à l'entretien de C______, par mois et d'avance, allocations familiales non comprises, la somme de 600 fr. dès le 1er décembre 2013, sous déduction de la somme de 720 fr. payée par A______ à titre d'abonnement de téléphone de C______ entre décembre 2013 et mai 2015. Condamne A______ à verser, en mains de B______, à titre de contribution à l'entretien de D______, par mois et d'avance, allocations familiales non comprises, la somme de 600 fr. dès le 1er décembre 2013, sous déduction de la somme de 720 fr. payée par A______ à titre d'abonnement de téléphone de D______ entre décembre 2013 et mai 2015. Confirme le jugement pour le surplus. Déboute les parties de toutes autres conclusions. Sur les frais : Arrête les frais judiciaires d'appel à 800 fr. Les met à la charge de A______. Dit que l'Etat de Genève supporte provisoirement les frais judiciaires de 800 fr. de A______.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- 15/15 -</w:t>
      </w:r>
    </w:p>
    <w:p>
      <w:r>
        <w:t>C/15227/2014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