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ACJC/605/2019 vom 16. April 2019</w:t>
      </w:r>
    </w:p>
    <w:p>
      <w:r>
        <w:t>GE Cour de justice, 2019-04-16, FR</w:t>
      </w:r>
    </w:p>
    <w:p>
      <w:r>
        <w:rPr>
          <w:b/>
        </w:rPr>
        <w:t xml:space="preserve">Quelle: </w:t>
      </w:r>
      <w:r>
        <w:t>https://mcp.opencaselaw.ch/entscheid/ge_gerichte_ACJC_605_2019</w:t>
      </w:r>
    </w:p>
    <w:p>
      <w:r>
        <w:t>FR: GE_GERICHTE ACJC/605/2019 du 16 avril 2019</w:t>
      </w:r>
    </w:p>
    <w:p>
      <w:r>
        <w:t>IT: GE_GERICHTE ACJC/605/2019 del 16 aprile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tels qu'ils résultent de la procédure de première instance, une fois capitalisés conformément à l'art. 92 al. 2 CPC, sont supérieurs à 10'000 fr., de sorte que la voie de l'appel est ouverte.</w:t>
      </w:r>
    </w:p>
    <w:p>
      <w:r>
        <w:rPr>
          <w:b/>
        </w:rPr>
        <w:t>E. 1.2</w:t>
      </w:r>
    </w:p>
    <w:p>
      <w:r>
        <w:t>Formé dans le délai et selon la forme prescrits par la loi (art. 130, 131, 145 al. 1 let. a et 311 al. 1 CPC), l'appel est recevable.</w:t>
      </w:r>
    </w:p>
    <w:p>
      <w:r>
        <w:rPr>
          <w:b/>
        </w:rPr>
        <w:t>E. 1.3</w:t>
      </w:r>
    </w:p>
    <w:p>
      <w:r>
        <w:t>La Cour revoit la cause avec un plein pouvoir d'examen (art. 310 CPC). Dans la mesure des conclusions prises en appel (art. 315 al. 1 CPC), elle établit les faits d'office (art. 270 CPC).</w:t>
      </w:r>
    </w:p>
    <w:p>
      <w:r>
        <w:t>La question de la contribution d'entretien des enfants mineurs est soumise à la maxime d'office et inquisitoire illimitée (art. 296 al. 1 et 3, 55 al. 2 et 58 al. 2 CPC), ce qui a pour conséquence que la Cour n'est pas liée par les conclusions des parties sur ce point (art. 296 al. 3 CPC) ni par l'interdiction de la reformatio in pejus (ATF 129 III 417 consid. 2.1.1; arrêt du Tribunal fédéral 5A_562/2009 du 18 janvier 2010 consid. 3.1).</w:t>
      </w:r>
    </w:p>
    <w:p>
      <w:r>
        <w:rPr>
          <w:b/>
        </w:rPr>
        <w:t>E. 2</w:t>
      </w:r>
    </w:p>
    <w:p>
      <w:r>
        <w:t>L'intimée étant de nationalité équatorienne, le litige présente un élément d'extranéité. Au vu du domicile genevois des parties et de leur fils mineur, la Cour est compétente pour statuer sur la contribution due à l'entretien de D______, seul point litigieux en appel (art. 59, 63 al. 1, 79 al. 1 LDIP; 2 et 5 ch. 2 let. a CL). Le droit suisse est applicable (art. 63 al. 2 et 83 al. 1 LDIP; 4 de la Convention de La Haye du 2 octobre 1973 sur la loi applicable aux obligations alimentaires).</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Dans les causes de droit matrimonial concernant les enfants mineurs, soumises à la maxime inquisitoire illimitée, les pièces nouvelles sont recevables, même si les</w:t>
      </w:r>
    </w:p>
    <w:p>
      <w:r>
        <w:t>- 7/14 -</w:t>
      </w:r>
    </w:p>
    <w:p>
      <w:r>
        <w:t>C/15810/2017 conditions de l'art. 317 al. 1 CPC ne sont pas réunies (ATF 144 III 349 consid. 4.2.1).</w:t>
      </w:r>
    </w:p>
    <w:p>
      <w:r>
        <w:rPr>
          <w:b/>
        </w:rPr>
        <w:t>E. 3.2</w:t>
      </w:r>
    </w:p>
    <w:p>
      <w:r>
        <w:t>En l'espèce, les pièces nouvelles produites par les parties, relatives à leur situation personnelle et financière, sont pertinentes pour fixer la contribution due à l'entretien de D______. Elles sont donc recevables.</w:t>
      </w:r>
    </w:p>
    <w:p>
      <w:r>
        <w:rPr>
          <w:b/>
        </w:rPr>
        <w:t>E. 4</w:t>
      </w:r>
    </w:p>
    <w:p>
      <w:r>
        <w:t>L'appelant fait grief au Tribunal d'avoir calculé l'entretien convenable de son fils en tenant compte d'une contribution de prise en charge. Il soutient que l'intimée est en mesure de travailler à 100% et qu'elle pourrait louer son bien immobilier en Equateur pour se procurer un revenu complémentaire. En tout état, aucune contribution de prise en charge ne se justifiait au-delà des 16 ans de D______, l'enfant n'ayant alors plus besoin d'être confié à sa mère pendant les heures de bureau.</w:t>
      </w:r>
    </w:p>
    <w:p>
      <w:r>
        <w:rPr>
          <w:b/>
        </w:rPr>
        <w:t>E. 4.1.1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Selon l'art. 285 al. 2 CC, dans sa teneur en vigueur depuis le 1er janvier 2017,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377 consid. 7.1).</w:t>
      </w:r>
    </w:p>
    <w:p>
      <w:r>
        <w:t>- 8/14 -</w:t>
      </w:r>
    </w:p>
    <w:p>
      <w:r>
        <w:t>C/15810/2017 Le juge du divorce peut fixer la contribution d'entretien pour une période allant au-delà de l'accès à la majorité (art. 133 al. 2 CC).</w:t>
      </w:r>
    </w:p>
    <w:p>
      <w:r>
        <w:rPr>
          <w:b/>
        </w:rPr>
        <w:t>E. 4.1.2</w:t>
      </w:r>
    </w:p>
    <w:p>
      <w:r>
        <w:t>Le juge doit en principe tenir compte des revenus effectifs ou réels des parties lors de la fixation de la contribution d'entretien (ATF 137 III 118 consid. 2.3; 137 III 102 consid. 4.2.2.2). L'aide sociale et les prestations complémentaires AVS/AI ne constituent pas un revenu à prendre en compte dès lors qu'elles sont subsidiaires aux contributions du droit de la famille (arrêts du Tribunal fédéral 5A_158/2010 du 25 mars 2010 consid. 3.2; 5A_170/2007 du 27 juin 2007 consid. 4 et les références citées; BASTONS BULLETTI, L'entretien après le divorce : Méthodes de calcul, montant, durée et limites, in SJ 2007 II 77 ss, 81). 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arrêt du Tribunal fédéral 5A_651/2014 du 27 janvier 2015 consid. 3.1). La jurisprudence jusqu'ici bien établie du Tribunal fédéral prévoyait qu'en principe, il ne peut être exigé d'un époux la prise ou la reprise d'une activité lucrative à un taux de 50% avant que le plus jeune des enfants dont il a la garde ait atteint l'âge de 10 ans révolus et de 100% avant qu'il ait atteint l'âge de 16 ans révolus. Ces lignes directrices n'étaient toutefois pas des règles strictes et leur application dépendait du cas concret. Ainsi, une activité lucrative apparaissait exigible lorsqu'elle avait déjà été exercée durant la vie conjugale ou si l'enfant était gardé par un tiers, de sorte que le détenteur de la garde n'était pas empêché de travailler pour cette raison; en revanche, la reprise d'une activité lucrative ne pouvait raisonnablement être exigée lorsqu'un époux avait la charge d'un enfant handicapé ou lorsqu'il avait beaucoup d'enfants. Le juge du fait tenait donc</w:t>
      </w:r>
    </w:p>
    <w:p>
      <w:r>
        <w:t>- 9/14 -</w:t>
      </w:r>
    </w:p>
    <w:p>
      <w:r>
        <w:t>C/15810/2017 compte de ces lignes directrices dans l'exercice de son large pouvoir d'appréciation (ATF 137 III 102 consid. 4.2.2.2 et les arrêts cités). Dans un récent arrêt de principe, le Tribunal fédéral a modifié sa jurisprudence à ce sujet. S'il a confirmé qu'en règle générale, 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w:t>
      </w:r>
    </w:p>
    <w:p>
      <w:r>
        <w:rPr>
          <w:b/>
        </w:rPr>
        <w:t>E. 4.1.3</w:t>
      </w:r>
    </w:p>
    <w:p>
      <w:r>
        <w:t>La loi n'impose pas de méthode de calcul de la contribution d'entretien. Sa fixation relève de l'appréciation du juge, qui jouit d'un large pouvoir d'appréciation et applique les règles du droit et de l'équité (art. 4 CC; ATF 140 III 337 consid. 4.2.2; 128 III 161, cons. 2c/aa; 127 III 136 consid. 3a; arrêt du Tribunal fédéral 5A_465/2016 19 janvier 2017 consid. 7.2.2). En présence de situations financières modestes ou moyennes, les charges des parties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op. cit., p. 84 ss et 101 ss). Si les conditions financières sont favorables, il est possible d'ajouter au minimum vital du droit des poursuites d'autres charges, comme les impôts et certaines primes d'assurances non obligatoires (RC privée, ménage, complémentaires d'assurance-maladie) (BASTONS BULLETTI, op. cit., p. 90 et 91). Le loyer imputé au parent gardien doit être diminué de la part attribuée aux enfants, puisque celle-là est intégrée dans les coûts directs de ceux-ci (arrêts du Tribunal fédéral 5A_464/2012 du 30 novembre 2012 consid. 4.6.3 et 5A_533/2010 du 24 novembre 2010 consid. 2.1). Seules les charges effectives, dont le débirentier s'acquitte réellement, doivent être prises en compte (ATF 121 III 20 consid. 3a; arrêt du Tribunal fédéral 5A_65/2013 du 4 septembre 2013 consid. 3.2.1 et les références citées). L'obligation d'entretien trouve sa limite dans la capacité contributive du débirentier, en ce sens que le minimum vital de celui-ci doit être préservé (ATF 140 III 337 consid. 4.3; 137 III 59 consid. 4.2.1 et 4.2.2; arrêt du Tribunal fédéral 5A_104/2017 du 11 mai 2017 consid. 3.3.4.2).</w:t>
      </w:r>
    </w:p>
    <w:p>
      <w:r>
        <w:rPr>
          <w:b/>
        </w:rPr>
        <w:t>E. 4.1.4</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w:t>
      </w:r>
    </w:p>
    <w:p>
      <w:r>
        <w:t>- 10/14 -</w:t>
      </w:r>
    </w:p>
    <w:p>
      <w:r>
        <w:t>C/15810/2017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w:t>
      </w:r>
    </w:p>
    <w:p>
      <w:r>
        <w:rPr>
          <w:b/>
        </w:rPr>
        <w:t>E. 4.2</w:t>
      </w:r>
    </w:p>
    <w:p>
      <w:r>
        <w:t>En l'espèce, les revenus (5'122 fr. 25) et charges (3'207 fr. 95) mensuels de l'appelant ne sont pas critiqués devant la Cour. Il en va de même des coûts directs de D______, qui s'élèvent à 573 fr. 10 par mois hors frais de logement et allocations familiales déduites. Sur le principe, l'appelant ne conteste pas devoir contribuer à l'entretien de son fils à hauteur de 500 fr. par mois, comprenant la moitié de la base mensuelle OP (300 fr.) et la participation de l'enfant au loyer de sa mère (194 fr.). Il soutient cependant qu'une contribution de prise en charge ne se justifie pas, au motif que D______ est confié à sa grand-mère maternelle le dimanche et qu'à l'exception du mercredi dès 11h30 et du vendredi dès 16h, l'enfant est pris en charge durant la semaine par l'école, le restaurant scolaire et/ou le parascolaire. En outre, il fait valoir que l'intimée est en mesure de se procurer un revenu net suffisant pour couvrir ses charges mensuelles (3'793 fr. 70), en travaillant à 100 % comme employée de maison, de façon à réaliser un salaire mensuel brut de 4'077 fr., soit 3'670 fr. nets après déduction des charges sociales; pour la première fois en appel, il soutient par ailleurs que l'intimée pourrait louer sa maison en Equateur afin de percevoir un revenu supplémentaire de 500 fr. par mois. Ce raisonnement ne peut être suivi. Il résulte en effet des déclarations concordantes des parties que D______, âgé de 10 ans, fréquente l'école primaire et est pris en charge par sa mère un mercredi sur deux, dès la fin des classes à 11h30, ainsi qu'un vendredi sur deux dès 16h. Au surplus, l'appelant ne démontre pas que son fils serait systématiquement "placé" chez sa grand-mère maternelle le dimanche (soit un jour de congé), ce que l'intimée conteste, étant relevé que l'appelant n'a pas fait état de cette circonstance devant le Tribunal. Compte tenu de son âge et de ses besoins, il est conforme au bien de D______, qui n'a pas encore débuté le degré secondaire, de permettre à l'intimée de s'occuper de lui à raison d'un jour (ou deux demi-journées) par semaine; or, vu les modalités de la garde alternée mises en place d'entente entre les parents, le fait d'imposer à l'intimée d'exercer une activité à temps plein aurait nécessairement pour conséquence de limiter le temps que celle-ci pourrait consacrer à son fils en dehors de l'école. Par conséquent, le Tribunal était fondé à imputer à l'intimée un revenu hypothétique calculé sur la base d'un emploi à 80 %, sa capacité de gain étant limitée par la</w:t>
      </w:r>
    </w:p>
    <w:p>
      <w:r>
        <w:t>- 11/14 -</w:t>
      </w:r>
    </w:p>
    <w:p>
      <w:r>
        <w:t>C/15810/2017 prise en charge de l'enfant. Cette solution est par ailleurs conforme à la jurisprudence récente du Tribunal fédéral. Le revenu hypothétique retenu par le premier juge doit également être confirmé. Selon le calculateur national de salaires en ligne, une personne âgée de 34 ans, sans formation professionnelle complète, sans fonction de cadre ni ancienneté, exerçant une activité de nettoyeuse à raison de 32 heures par semaine à Genève, perçoit un salaire mensuel brut de 2'680 fr. (1er quartile) à 2'840 fr. (médiane) dans l'hébergement et la restauration, respectivement de 3'170 fr. (1er quartile) à 3'460 fr. (médiane) dans le commerce de détail. Après déduction des charges sociales, le revenu mensuel net imputable à l'appelante peut ainsi être estimé à 3'000 fr., compte tenu de son âge, de sa formation et de ses expériences passées. Au demeurant, l'appelant, qui évalue la capacité de gain de l'intimée à 4'077 fr. bruts pour un travail à temps plein, ne remet pas en cause le revenu hypothétique retenu par le Tribunal pour un travail à 80% (4'077 fr. x 80% = 3'261 fr. 60, soit 2'935 fr. 45 après déduction des charges sociales). Par ailleurs, il ressort des pièces produites devant la Cour que le bien immobilier sis en Equateur est occupé par la sœur de l'intimée, J______, laquelle en assume les charges, de sorte qu'il n'y a pas lieu d'imputer un revenu locatif à l'intimée. Il suit de là que la contribution de prise en charge a correctement été arrêtée à 600 fr. par mois, de façon à combler le déficit de l'intimée après couverture de ses charges. Le jugement attaqué sera dès lors confirmé en tant qu'il fixe la contribution d'entretien à 1'100 fr. par mois dès le 15 septembre 2018, date à laquelle le jugement prononçant le divorce est entré en force, étant relevé que le dies a quo de cette contribution n'est pas remis en cause devant la Cour. En revanche, c'est à bon droit que l'appelant reproche au premier juge de ne pas avoir supprimé la contribution de prise en charge dès que D______ aura atteint l'âge de 16 ans révolu; dès ce moment-là en effet, l'enfant aura gagné en autonomie et n'aura plus besoin d'être confié à sa mère pendant les heures usuelles de travail. Dans la mesure où l'appelant assume déjà seul le paiement des charges fixes de D______, la contribution sera réduite à 500 fr. dès les 16 ans de l'enfant jusqu'à la majorité, voire au-delà pour autant qu'il poursuive des études ou une formation professionnelle de façon sérieuse et régulière. En conséquence, le chiffre 7 du dispositif du jugement entrepris sera annulé et il sera statué dans le sens de ce qui précède.</w:t>
      </w:r>
    </w:p>
    <w:p>
      <w:r>
        <w:rPr>
          <w:b/>
        </w:rPr>
        <w:t>E. 5.1</w:t>
      </w:r>
    </w:p>
    <w:p>
      <w:r>
        <w:t>Si l'instance d'appel statue à nouveau, elle se prononce sur les frais de la première instance (art. 318 al. 1 CPC).</w:t>
      </w:r>
    </w:p>
    <w:p>
      <w:r>
        <w:t>Le jugement attaqué n'est pas critiquable en tant que le Tribunal, faisant application de l'art. 107 al. 1 let. c CPC, a mis les frais judiciaires de première</w:t>
      </w:r>
    </w:p>
    <w:p>
      <w:r>
        <w:t>- 12/14 -</w:t>
      </w:r>
    </w:p>
    <w:p>
      <w:r>
        <w:t>C/15810/2017 instance – fixés à 1'000 fr. conformément aux règles applicables (art. 95, 96, 104 al. 1 CPC; 5 et 30 RTFMC) – à la charge des parties par moitié chacune et renoncé à allouer des dépens.</w:t>
      </w:r>
    </w:p>
    <w:p>
      <w:r>
        <w:t>Les chiffres 15 à 19 du dispositif du jugement attaqué seront ainsi confirmés.</w:t>
      </w:r>
    </w:p>
    <w:p>
      <w:r>
        <w:rPr>
          <w:b/>
        </w:rPr>
        <w:t>E. 5.2</w:t>
      </w:r>
    </w:p>
    <w:p>
      <w:r>
        <w:t>Les frais judiciaires d'appel seront arrêtés à 1'250 fr. (art. 30 et 35 RTFMC) et compensés, à hauteur de 625 fr., avec l'avance de frais versée par l'appelant, qui reste acquise à l'Etat de Genève (art. 111 al. 1 CPC). Ils seront répartis par moitié entre les parties, la part mise à la charge de l'intimée, qui plaide au bénéfice de l'assistance judiciaire, étant provisoirement supportée par l'Etat de Genève (art. 122 et 123 al. 1 CPC).</w:t>
      </w:r>
    </w:p>
    <w:p>
      <w:r>
        <w:t>Vu la nature du litige, chaque partie assumera ses propres dépens d'appel (art. 95 al. 3, 105 al. 2 et 107 al. 1 let. c CPC). * * * * * *</w:t>
      </w:r>
    </w:p>
    <w:p>
      <w:r>
        <w:t>- 13/14 -</w:t>
      </w:r>
    </w:p>
    <w:p>
      <w:r>
        <w:t>C/15810/2017 PAR CES MOTIFS, La Chambre civile : A la forme : Déclare recevable l'appel interjeté le 13 septembre 2018 par A______ contre le chiffre 7 du dispositif du jugement JTPI/12013/2018 rendu le 8 août 2018 par le Tribunal de première instance dans la cause C/15810/2017-9. Au fond : Annule le chiffre 7 du dispositif du jugement entrepris et, statuant à nouveau sur ce point : Condamne A______ à verser en mains de B______, par mois et d'avance, à titre de contribution à l'entretien de leur fils D______, la somme de 1'100 fr. dès le 15 septembre 2018 jusqu'à l'âge de 16 ans, puis de 500 fr. dès l'âge de 16 ans jusqu'à la majorité, voire au-delà, pour autant que l'enfant poursuive une formation professionnelle ou des études de manière sérieuse et régulière. Confirme le jugement entrepris pour le surplus. Déboute les parties de toutes autres conclusions. Sur les frais : Arrête les frais judiciaires d'appel à 1'250 fr., les met à la charge des parties à raison de la moitié chacune et les compense à concurrence de 625 fr. avec l'avance fournie par A______, qui reste acquise à l'Etat de Genève. Laisse provisoirement à la charge de l'Etat de Genève la part des frais judiciaires d'appel incombant à B______. Invite les Services financiers du Pouvoir judiciaire à restituer à A______ le solde de son avance de frais en 625 fr. Dit que chaque partie supporte ses propres dépens d'appel. Siégeant : Monsieur Ivo BUETTI, président; Madame Sylvie DROIN, Madame Nathalie RAPP, juges; Madame Camille LESTEVEN, greffière. Le président : Ivo BUETTI</w:t>
      </w:r>
    </w:p>
    <w:p>
      <w:r>
        <w:t>La greffière : Camille LESTEVEN</w:t>
      </w:r>
    </w:p>
    <w:p>
      <w:r>
        <w:t>- 14/14 -</w:t>
      </w:r>
    </w:p>
    <w:p>
      <w:r>
        <w:t>C/15810/2017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