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ACJC/605/2017 vom 23. Mai 2017</w:t>
      </w:r>
    </w:p>
    <w:p>
      <w:r>
        <w:t>GE Cour de justice, 2017-05-23, FR</w:t>
      </w:r>
    </w:p>
    <w:p>
      <w:r>
        <w:rPr>
          <w:b/>
        </w:rPr>
        <w:t xml:space="preserve">Quelle: </w:t>
      </w:r>
      <w:r>
        <w:t>https://mcp.opencaselaw.ch/entscheid/ge_gerichte_ACJC_605_2017</w:t>
      </w:r>
    </w:p>
    <w:p>
      <w:r>
        <w:t>FR: GE_GERICHTE ACJC/605/2017 du 23 mai 2017</w:t>
      </w:r>
    </w:p>
    <w:p>
      <w:r>
        <w:t>IT: GE_GERICHTE ACJC/605/2017 del 23 maggio 2017</w:t>
      </w:r>
    </w:p>
    <w:p>
      <w:pPr>
        <w:pStyle w:val="Heading2"/>
      </w:pPr>
      <w:r>
        <w:t>Volltext</w:t>
      </w:r>
    </w:p>
    <w:p>
      <w:r>
        <w:t>REPUBLIQUE ET</w:t>
      </w:r>
    </w:p>
    <w:p>
      <w:r>
        <w:t>CANTON DE GENEVE POUVOIR JUDICIAIRE C/11079/2017 ACJC/605/2017 ARRÊT DE LA COUR DE JUSTICE Chambre civile DU MARDI 23 MAI 2017</w:t>
      </w:r>
    </w:p>
    <w:p>
      <w:r>
        <w:t>Entre A______ SA, sise______ à Genève, requérante, comparant par Me Urs Saal, avocat, 20, rue Sénebier, case postale 166, 1211 Genève 12, en l'étude duquel elle fait élection de domicile, et B______ SA, sise______ à Genève, citée, comparant par Me Yama Sangin, avocat, 8, rue Rodolphe-Toepffer, 1206 Genève, en l'étude duquel elle fait élection de domicile.</w:t>
      </w:r>
    </w:p>
    <w:p>
      <w:r>
        <w:t>Le présent arrêt est communiqué aux parties par plis recommandés du 23 mai 2017 et recommuniqué à Me Sangin, avocat de la citée, le 29 mai 2017.</w:t>
      </w:r>
    </w:p>
    <w:p>
      <w:r>
        <w:t>- 2/8 -</w:t>
      </w:r>
    </w:p>
    <w:p>
      <w:r>
        <w:t>C/11079/2017 Vu, EN FAIT,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a pour but "l'installation, exploitation, gérance de tous cafés, restaurants, brasseries, tea-rooms, bars et autres commerces similaires et notamment création et exploitation de cafés restaurants à l'enseigne "E______"; C______ et D______ sont administrateurs de la société et disposent d'une signature collective à deux; Que la faillite de E______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A______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 l'établissement "K______" situé______ à Genève, des comptes et pages de "J______" (@______) sur les réseaux sociaux, notamment Twitter, Facebook et Instagram; Que A______ SA prend des conclusions similaires après audition des parties, demandant notamment en sus qu'un délai de 90 jours lui soit octroyé pour agir au fond;</w:t>
      </w:r>
    </w:p>
    <w:p>
      <w:r>
        <w:t>- 3/8 -</w:t>
      </w:r>
    </w:p>
    <w:p>
      <w:r>
        <w:t>C/11079/2017 Qu'elle indique qu'elle détient à 100% E______ et F______ SA et qu'elle est détenue à 40% par B______ SA, à 40% par M______ et à 20% par N______ (ci-après : N______); Que F______ SA avait exploité jusqu'en novembre 2015 un restaurant sous l'enseigne "L______", à ______ à Genève; Qu'à la suite de la cession de bail des locaux occupés par "L______" à O______, P______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et B______ SA sont actionnaires à 50% chacune de P______;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représentée par C______ et D______, avait transféré le bail précité à B______ SA; Que E______ exploitait depuis 1993 un bar de nuit dancing à ______, sous l'enseigne "J______"; Que E______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 Qu'une procédure pénale pour détournement de fonds a été ouverte en décembre 2016 contre Q______, directeur financier de A______ SA;</w:t>
      </w:r>
    </w:p>
    <w:p>
      <w:r>
        <w:t>- 4/8 -</w:t>
      </w:r>
    </w:p>
    <w:p>
      <w:r>
        <w:t>C/11079/2017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M______ et N______ considèrent que le lien de confiance avec C______ et D______ est rompu, de sorte qu'à la suite de l'assemblée générale extraordinaire du 15 mars 2017, les pouvoirs de C______ et D______ dans A______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Qu'elle expose qu'en tant qu'actionnaire de E______, elle peut faire valoir les droits patrimoniaux de cette société, notamment celui relatif à la protection de sa marque; Qu'elle soutient que le transfert de la marque le 10 janvier 2017 de E______ à B______ SA était nul, les deux administrateurs ayant agi comme représentants de chacune des sociétés; qu'en outre, seule P______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que la requérante a rendu vraisemblable que la Cour de céans était compétente à raison du lieu pour connaître de la requête; Qu'en effet, la compétence à l'encontre de la citée, qui a son siège à Genève, se fonde sur les art. 10 al. 1 let. b et 13 CPC; Qu'aux termes des art. 5 al. 1 let. a et d CPC et 120 al. 1 let. a LOJ, la Chambre civile de la Cour de justice connaît en instance unique des litiges sur des droits de propriété</w:t>
      </w:r>
    </w:p>
    <w:p>
      <w:r>
        <w:t>- 5/8 -</w:t>
      </w:r>
    </w:p>
    <w:p>
      <w:r>
        <w:t>C/11079/2017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w:t>
      </w:r>
    </w:p>
    <w:p>
      <w:r>
        <w:t>- 6/8 -</w:t>
      </w:r>
    </w:p>
    <w:p>
      <w:r>
        <w:t>C/11079/2017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il n'est pas rendu vraisemblable que A______ SA, qui est elle-même détenue à 40% par B______ SA, peut se prévaloir de ses droits d'actionnaires de E______, en liquidation et de F______ SA, pour agir à l'encontre de B______ SA; Qu'il ne peut être déduit de son droit à un dividende le droit de faire valoir, en lieu et place de la société dont elle est actionnaire, des droits qui appartiennent à celle-ci; Qu'en effet, selon les explications fournies par la requérante, seule E______, en liquidation, serait autorisée à utiliser la marque "J______"; Qu'en outre, la requérante ne se plaint nullement d'un acte émanant de la citée qui la concurrencerait de manière déloyale; Qu'ainsi, prima facie, il apparaît que E______, en liquidation, respectivement l'Office des faillites (art. 240 LP), ainsi que P______ disposent de la légitimation active et non la requérante pour se plaindre de la violation de leurs droits de marque ainsi que d'un éventuel acte de concurrence déloyale; Que, par ailleurs, la question de savoir si la marque "J______" enregistrée par E______, en liquidation s'oppose à la validité de la marque "K______" enregistrée par la citée mérite de plus amples investigations, le risque de confusion n'étant a priori pas manifeste; Que, par ailleurs, seule l'instruction au fond de la procédure permettra de déterminer si les administrateurs de E______ étaient habilités à signer le transfert du bail et de la marque détenus par P______ à B______ SA;</w:t>
      </w:r>
    </w:p>
    <w:p>
      <w:r>
        <w:t>- 7/8 -</w:t>
      </w:r>
    </w:p>
    <w:p>
      <w:r>
        <w:t>C/11079/2017 Que la requérante avait accepté que les mêmes personnes agissent comme administrateurs de sa propre société, de E______ et de F______ SA, et ne pouvait ignorer que la société qui la détient à concurrence de 40% est administrée par ces mêmes personnes; Qu'elle n'allègue pas qu'elle se serait opposée à la création de P______, exposant au contraire que la création de cette société avait été rendue nécessaire par la cession du bail de F______ SA; Qu'elle n'explique pas pour quelle raison elle n'a pas réagi au moment du transfert du bail en novembre 2016 de P______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de son dividende,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 Que conformément à l'art. 265 al. 2 CPC, un délai sera imparti à la citée pour se prononcer par écrit sur la requête; Qu'il sera statué sur les frais de la présente ordonnance avec la décision sur mesures provisionnelles. * * * * * *</w:t>
      </w:r>
    </w:p>
    <w:p>
      <w:r>
        <w:t>- 8/8 -</w:t>
      </w:r>
    </w:p>
    <w:p>
      <w:r>
        <w:t>C/11079/2017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 La présidente : Florence KRAUSKOPF</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