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ACJC/604/2019 vom 29. April 2019</w:t>
      </w:r>
    </w:p>
    <w:p>
      <w:r>
        <w:t>GE Cour de justice, 2019-04-29, FR</w:t>
      </w:r>
    </w:p>
    <w:p>
      <w:r>
        <w:rPr>
          <w:b/>
        </w:rPr>
        <w:t xml:space="preserve">Quelle: </w:t>
      </w:r>
      <w:r>
        <w:t>https://mcp.opencaselaw.ch/entscheid/ge_gerichte_ACJC_604_2019</w:t>
      </w:r>
    </w:p>
    <w:p>
      <w:r>
        <w:t>FR: GE_GERICHTE ACJC/604/2019 du 29 avril 2019</w:t>
      </w:r>
    </w:p>
    <w:p>
      <w:r>
        <w:t>IT: GE_GERICHTE ACJC/604/2019 del 29 aprile 2019</w:t>
      </w:r>
    </w:p>
    <w:p>
      <w:pPr>
        <w:pStyle w:val="Heading2"/>
      </w:pPr>
      <w:r>
        <w:t>Erwägungen</w:t>
      </w:r>
    </w:p>
    <w:p>
      <w:r>
        <w:rPr>
          <w:b/>
        </w:rPr>
        <w:t>E. 4</w:t>
      </w:r>
    </w:p>
    <w:p>
      <w:r>
        <w:t>En vertu de l'art. 128 al. 3 CPC, la partie ou son représentant qui usent de mauvaise foi ou de procédés téméraires sont punis d'une amende disciplinaire de 2000 fr. au plus.</w:t>
      </w:r>
    </w:p>
    <w:p>
      <w:r>
        <w:t>En l'espèce, même si l'appel et le recours sont manifestement mal fondés, il ne se justifie pas de condamner l'appelant à une amende disciplinaire.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C/17396/2018</w:t>
      </w:r>
    </w:p>
    <w:p>
      <w:r>
        <w:t>PAR CES MOTIFS, La Chambre des baux et loyers : A la forme : Déclare recevables l'appel et le recours interjetés le 19 octobre 2018 par A______ contre le jugement JTBL/902/2018 rendu le 2 octobre 2018 par le Tribunal des baux et loyers dans la cause C/17396/2018-7-SD. Au fond : Confirme le jugement attaqué.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