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ACJC/603/2022 vom 6. Mai 2022</w:t>
      </w:r>
    </w:p>
    <w:p>
      <w:r>
        <w:t>GE Cour de justice, 2022-05-06, FR</w:t>
      </w:r>
    </w:p>
    <w:p>
      <w:r>
        <w:rPr>
          <w:b/>
        </w:rPr>
        <w:t xml:space="preserve">Quelle: </w:t>
      </w:r>
      <w:r>
        <w:t>https://mcp.opencaselaw.ch/entscheid/ge_gerichte_ACJC_603_2022</w:t>
      </w:r>
    </w:p>
    <w:p>
      <w:r>
        <w:t>FR: GE_GERICHTE ACJC/603/2022 du 6 mai 2022</w:t>
      </w:r>
    </w:p>
    <w:p>
      <w:r>
        <w:t>IT: GE_GERICHTE ACJC/603/2022 del 6 maggio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contribution d'entretien en faveur de l'enfant, dont la valeur litigieuse, calculée conformément à l'art. 92 al. 2 CPC, est supérieure à 10'000 fr. La voie de l'appel est ainsi ouverte. Déposé selon la forme et dans le délai prescrits (art. 130, 131, 142 al. 1, 145 al. 1 let. c et 311 al. 1 CPC), par une partie qui y a intérêt (art. 59 al. 2 let. a CPC), l'appel est en l'espèce recevable.</w:t>
      </w:r>
    </w:p>
    <w:p>
      <w:r>
        <w:rPr>
          <w:b/>
        </w:rPr>
        <w:t>E. 1.2</w:t>
      </w:r>
    </w:p>
    <w:p>
      <w:r>
        <w:t>L'action n'étant pas liée à une procédure matrimoniale, la procédure simplifiée s'applique (art. 295 CPC).</w:t>
      </w:r>
    </w:p>
    <w:p>
      <w:r>
        <w:rPr>
          <w:b/>
        </w:rPr>
        <w:t>E. 1.3</w:t>
      </w:r>
    </w:p>
    <w:p>
      <w:r>
        <w:t>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w:t>
      </w:r>
    </w:p>
    <w:p>
      <w:r>
        <w:rPr>
          <w:b/>
        </w:rPr>
        <w:t>E. 2.2</w:t>
      </w:r>
    </w:p>
    <w:p>
      <w:r>
        <w:t>En l'espèce, les parties ont produit à l'appui de leurs écritures d'appel plusieurs pièces nouvelles. Conformément aux principes rappelés ci-dessus, ces pièces sont recevables, ce qui n'est pas contesté.</w:t>
      </w:r>
    </w:p>
    <w:p>
      <w:r>
        <w:t>- 13/23 -</w:t>
      </w:r>
    </w:p>
    <w:p>
      <w:r>
        <w:t>C/24893/2018</w:t>
      </w:r>
    </w:p>
    <w:p>
      <w:r>
        <w:rPr>
          <w:b/>
        </w:rPr>
        <w:t>E. 3</w:t>
      </w:r>
    </w:p>
    <w:p>
      <w:r>
        <w:t>L'appelant reproche au Tribunal d'avoir violé son droit à la preuve en refusant l'audition de F______ au vu des éléments fournis, soit l'extrait de l'OCPM du 21 janvier 2019 et l'inscription du nom de celui-là sur la boîte aux lettres de l'intimée. Les pièces produites en seconde instance, selon lesquelles cet homme est représentant à Genève d'une société bâloise contrediraient les affirmations de l'intimée selon lesquelles il travaillait à Bâle. De plus, C______ avait déclaré au SPMi le 21 avril 2021 qu'elle faisait aussi des activités avec son beau-père, connu d'elle depuis deux ou trois ans, de sorte que cette relation était actuelle. Selon les dires de l'intimée rapportés par le SPMi, celle-ci s'était récemment séparée de son nouveau compagnon, ce qui était en contradiction avec les affirmations de sa fille qui le connaissait depuis 2-3 ans. A son sens, seule la moitié des frais de loyer, diminuée de la part de l'enfant, aurait dû être prise en considération. Il soutient que le train de vie de l'intimée est bien supérieur à celui qu'elle a prétendu avoir et que la production des décomptes de sa carte de crédit permettrait d'établir la fréquence de ses déplacements au Brésil, ainsi que le niveau de ses dépenses. A cet égard, il relève qu'elle a effectué des transactions dans un centre commercial en France voisine où elle ne pouvait se rendre qu'accompagnée de son compagnon puisqu'elle ne possède pas de voiture. A son sens, le Tribunal aurait dû instruire la situation financière réelle de l'intimée, par un examen documenté de ses dépenses en comparaison avec ses indemnités de chômage ou prestations cantonales en cas de maladie.</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t>- 14/23 -</w:t>
      </w:r>
    </w:p>
    <w:p>
      <w:r>
        <w:t>C/24893/2018</w:t>
      </w:r>
    </w:p>
    <w:p>
      <w:r>
        <w:rPr>
          <w:b/>
        </w:rPr>
        <w:t>E. 3.2</w:t>
      </w:r>
    </w:p>
    <w:p>
      <w:r>
        <w:t>En l'espèce, s'agissant de l'audition de F______ au sujet de sa relation de concubinage avec l'intimée, au vu des pièces au dossier, en particulier les renseignements de l'OCPM, et des explications fournies par l'intimée, la Cour considère que la cause est en état d'être jugée. En tout état, compte tenu des liens entre l'intimée et F______, son témoignage n'aurait qu'une valeur probante limitée. De plus, même à admettre que celui-ci ait vécu ou vive avec l'intimée, cela ne changerait pas fondamentalement la solution du litige (1'625 fr. de loyer ./. 2 = 812,50 part de la mère dans la relation de concubinage x 20% part de l'enfant = 162 fr. 50 au lieu de 20% de 1'625 fr. = 325 fr., soit une différence mensuelle de 162 fr. 50 - cf. consid. 4.2.2.4). S'agissant des relevés de carte de crédit, l'appelant les sollicite pour la première fois tardivement en seconde instance. De plus, la Cour s'estime suffisamment renseignée sur la situation financière de l'intimée compte tenu des éléments figurant déjà au dossier. En conclusion, il ne se justifie pas de donner suite aux mesures d'instruction sollicitées par l'appelant.</w:t>
      </w:r>
    </w:p>
    <w:p>
      <w:r>
        <w:rPr>
          <w:b/>
        </w:rPr>
        <w:t>E. 4</w:t>
      </w:r>
    </w:p>
    <w:p>
      <w:r>
        <w:t>L'appelant fait grief au Tribunal de n'être pas entré en matière sur sa demande de modification, de n'avoir pas pris en compte le concubinage de l'intimée et de n'avoir pas imputé à celle-ci un revenu hypothétique. 4.1.1 Si la situation change notablement, le juge modifie ou supprime la contribution d'entretien à la demande du père, de la mère ou de l'enfant (art. 286 al. 2 CC). Les contributions d’entretien fixées par convention peuvent être modifiées, à moins qu’une telle modification n’ait été exclue avec l'approbation de 'autorité de protection de l'enfant (art. 287 al. 2 CC).</w:t>
      </w:r>
    </w:p>
    <w:p>
      <w:r>
        <w:t>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5A_190/2020 du 30 avril 2021 consid. 3).</w:t>
      </w:r>
    </w:p>
    <w:p>
      <w:r>
        <w:t>Le moment déterminant pour apprécier si des circonstances nouvelles se sont produites est la date du dépôt de la demande de modification (ATF 137 III 604 consid. 4.1.4; 120 II 285 consid. 4b). C'est donc à ce moment-là qu'il y a lieu de se</w:t>
      </w:r>
    </w:p>
    <w:p>
      <w:r>
        <w:t>- 15/23 -</w:t>
      </w:r>
    </w:p>
    <w:p>
      <w:r>
        <w:t>C/24893/2018 placer pour déterminer le revenu et son évolution prévisible (arrêt du Tribunal fédéral 5A_190/2020 du 30 avril 2021 consid. 3).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5A_190/2020 précité). Pour que le juge puisse procéder à cette actualisation, il n'est pas nécessaire que la modification survenue dans ces autres éléments constitue également un fait nouveau (ATF 138 III 289 consid. 11.1.1 et les références; arrêts 5A_230/2019 précité consid. 6.1; 5A_760/2016 précité consid. 5.1; 5A_260/2016 du 14 octobre 2016 consid. 2.1.2; 5A_643/2015 du 15 mars 2016 consid. 4).</w:t>
      </w:r>
    </w:p>
    <w:p>
      <w:r>
        <w:t>La survenance d'un fait nouveau - important et durable - n'entraîne toutefois pas automatiquement une modification de la contribution d'entretien. Le juge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références citées).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du Tribunal fédéral 5A_190/2020 du 30 avril 2021 consid. 3).</w:t>
      </w:r>
    </w:p>
    <w:p>
      <w:r>
        <w:t>4.1.2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w:t>
      </w:r>
    </w:p>
    <w:p>
      <w:r>
        <w:t>- 16/23 -</w:t>
      </w:r>
    </w:p>
    <w:p>
      <w:r>
        <w:t>C/24893/2018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w:t>
      </w:r>
    </w:p>
    <w:p>
      <w:r>
        <w:t>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w:t>
      </w:r>
    </w:p>
    <w:p>
      <w:r>
        <w:t>4.1.3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w:t>
      </w:r>
    </w:p>
    <w:p>
      <w:r>
        <w:rPr>
          <w:b/>
        </w:rPr>
        <w:t>E. 9</w:t>
      </w:r>
    </w:p>
    <w:p>
      <w:r>
        <w:t>décembre 2020 consid. 5.1.1 et les références).</w:t>
      </w:r>
    </w:p>
    <w:p>
      <w:r>
        <w:t>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w:t>
      </w:r>
    </w:p>
    <w:p>
      <w:r>
        <w:t>- 17/23 -</w:t>
      </w:r>
    </w:p>
    <w:p>
      <w:r>
        <w:t>C/24893/2018 circonstances subjectives susmentionnées ainsi que du marché du travail (ATF 143 III 233 consid. 3.2; 137 III 102 consid. 4.2.2.2; 128 III 4 consid. 4c/bb; arrêts du Tribunal fédéral 5A_466/2019 du 25 septembre 2019; 5A_337/2019 du</w:t>
      </w:r>
    </w:p>
    <w:p>
      <w:r>
        <w:rPr>
          <w:b/>
        </w:rPr>
        <w:t>E. 12</w:t>
      </w:r>
    </w:p>
    <w:p>
      <w:r>
        <w:t>août 2019 consid. 3.1).</w:t>
      </w:r>
    </w:p>
    <w:p>
      <w:r>
        <w:t>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w:t>
      </w:r>
    </w:p>
    <w:p>
      <w:r>
        <w:t>4.1.4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page 113; ACJC/858/2021 du 25 juin 2021 consid. 4.1.2). 4.1.5 Dans le calcul des besoins, le minimum vital du droit des poursuites comprend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w:t>
      </w:r>
    </w:p>
    <w:p>
      <w:r>
        <w:t>- 18/23 -</w:t>
      </w:r>
    </w:p>
    <w:p>
      <w:r>
        <w:t>C/24893/2018 5A_533/2010 du 24 novembre 2010 consid. 2.1). La part au logement peut être fixée à 20% du loyer pour un enfant (BASTONS BULLETTI, op. cit., in SJ 2007 II 77, p. 102). Lorsque la prise en charge quotidienne de l'enfant se répartit entre les deux parents, une part au loyer de l'enfant chez chaque parent est admise (arrêt du Tribunal fédéral 5A_952/2019 du 2 décembre 2020 consid. 6.3.2).</w:t>
      </w:r>
    </w:p>
    <w:p>
      <w:r>
        <w:t>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voire le remboursement de dettes. En cas de situations plus élevées, il peut encore être tenu compte des primes d'assurance-maladie complémentaires (ATF 147 III 265 consid. 4.1.5 et 7.2). 4.1.6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w:t>
      </w:r>
    </w:p>
    <w:p>
      <w:r>
        <w:t>- 19/23 -</w:t>
      </w:r>
    </w:p>
    <w:p>
      <w:r>
        <w:t>C/24893/2018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4.1.7 Selon la jurisprudence, il ne se justifie pas de limiter le versement de la contribution aux 25 ans des enfants, dès lors qu'une limitation temporelle absolue de l'obligation d'entretien au moment où l'enfant atteint l'âge de 25 ans révolus n'existe pas en droit civil (ATF 130 V 237; arrêts du Tribunal fédéral 5A_517/2020 du 4 octobre 2021 consid. 4.1 et 5A_330/2014 du 30 octobre 2014 consid. 8.3, ACJC/1521/2021 du 12 novembre 2021 consid. 7.2.3). 4.1.8 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références citées).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 et les arrêts cités). 4.2.1 En l'espèce, le droit de visite de l'appelant, prévu par l'ordonnance du Tribunal de protection du 11 juin 2015, a été remplacé le 14 septembre 2017 par une garde alternée. Cette modification ne saurait cependant être qualifiée d'importante. Elle n'implique en effet qu'une répartition différente des jours de</w:t>
      </w:r>
    </w:p>
    <w:p>
      <w:r>
        <w:t>- 20/23 -</w:t>
      </w:r>
    </w:p>
    <w:p>
      <w:r>
        <w:t>C/24893/2018 garde entre les parents, à savoir que l'enfant, au lieu de passer 2 nuits par semaine et un weekend sur deux chez chacun de ses parents, demeure une semaine chez chacun d'eux en alternance. S'agissant du prétendu concubinage de l'intimée, qui vaudrait circonstance nouvelle importante et durable justifiant qu'il soit entré en matière sur la modification sollicitée, la Cour considère, contrairement au Tribunal, que celui-ci est établi, à tout le moins du 21 janvier 2019 au 29 août 2019, conformément à ce qui figure dans les registres de l'OCPM. Si l'on peut douter que l'intimée ait cessé toute relation avec F______, notamment au regard des déclarations rapportées par le SPMi, il ne saurait pour autant être considéré que celui-ci partage le quotidien de celle-ci et de sa fille, et assume la moitié des frais du ménage de manière régulière et durable. Son employeur est à Bâle, et à suivre l'appelant, son véhicule est également immatriculé dans ce canton, ce qui permet de retenir que F______ y entretient des liens. En tout état, comme relevé précédemment, si le concubinage devait être retenu, cela aurait essentiellement pour conséquence de modifier la part de loyer de l'enfant à sa mère, dans une mesure moindre (cf. consid. 3.2 supra) et le déséquilibre entre les situations financières des parties resterait marqué, de sorte que cela ne justifierait pas qu’il soit entré en matière sur une modification de la transaction du 6 juin 2016. C'est également à tort que l'appelant soutient qu'il conviendrait d'imputer un revenu hypothétique à l'intimée, justifiant ensuite une modification de la transaction précitée. Il est vrai que les déclarations de l'intimée sont en partie contradictoires et que les démarches entreprises en vue de se réorienter professionnellement sont floues. Il n'en reste pas moins qu'il ressort des différentes attestations médicales que l'intimée souffre actuellement de problèmes de santé qui l'empêchent de retrouver une activité lucrative ou limitent sa capacité à cet égard. Peu importe au demeurant la cause de ces problèmes. Même à admettre que l'intimée pourrait travailler, faudrait-il encore que le revenu ainsi réalisé lui permette de disposer d'un montant suffisant lui permettant, après paiement de ses charges, de contribuer à l'entretien de sa fille, afin de diminuer la part de l'appelant à cet égard. Or, une activité à mi-temps, compte tenu de l'âge de l'enfant, pour une personne sans qualification particulière, serait insuffisante pour y parvenir. Les montants perçus par l'intimée lorsqu'elle travaillait, s'ils sont rapportés à un emploi à temps partiel, confirment ce qui précède. De plus, le fait qu'elle ait eu des contacts avec l'AI laisse présager d'une évolution incertaine de son état de santé, obstacle supplémentaire à l'imputation d'un revenu hypothétique, lequel requiert la possibilité effective d'exercer une activité professionnelle.</w:t>
      </w:r>
    </w:p>
    <w:p>
      <w:r>
        <w:t>- 21/23 -</w:t>
      </w:r>
    </w:p>
    <w:p>
      <w:r>
        <w:t>C/24893/2018 Enfin, le fait que l'intimée se soit rendue au Brésil à plusieurs reprises n'est pas en contradiction avec ce qui précède, la faculté de voyager, fut-ce dans un pays lointain, devant être distinguée de celle de travailler de manière régulière. 4.2.2 Même s'il fallait entrer en matière sur une éventuelle modification de la transaction du 16 juin 2016, au motif que les circonstances auraient changé, le montant de la contribution due par l'appelant à l'entretien de l'enfant ne devrait pas être réduite. En effet, entre 2016 et aujourd'hui, la situation financière de l'appelant s'est améliorée : alors qu'il percevait 8'000 fr. net par mois en 2016, il gagnait 9'425 fr. au janvier 2019, soit quelques mois à peine après le dépôt de la requête. Aucun élément ne permet de considérer que son salaire aurait baissé depuis 2019. Ses charges ont augmenté et passé de 5'100 fr. à l'époque à 7'905 fr., soit le montant retenu par le Tribunal, non contesté en appel. Son disponible mensuel est ainsi de 1'520 fr. (9'425 fr. – 7'905 fr.) au minimum. A l'époque de la transaction, l'intimée percevait des indemnités de chômage de 3'543 fr. et assumait 3'162 fr. de charges mensuelles, soit un disponible mensuel de 381 fr. Aujourd'hui, le versement des indemnités de chômage, d'un montant net moyen de 2'858 fr. non contesté et correspondant aux derniers décomptes connus de juin à août 2021, a pris fin à l'échéance du délai cadre d'indemnisation le 15 novembre 2021. L'intimée ne couvre dès lors pas ses charges mensuelles et subit un déficit. A l'époque de la transaction, les charges mensuelles de C______ totalisaient 1'280 fr., respectivement 980 fr. après déduction des allocations familiales. Aujourd'hui, elles s'élèvent à 901 fr., montant admis par les parties, respectivement à 601 fr. après déduction des allocations familiales. Les parties en remettent pas en cause l'absence de contribution de prise en charge dans les coûts de l'enfant. Au vu des éléments ci-dessus, et compte tenu de la situation économique favorable de l'appelant, à l'inverse de celle précaire de l'intimée, il se justifie que celui-ci prenne en charge la totalité des besoins de l'enfant, malgré la garde</w:t>
      </w:r>
    </w:p>
    <w:p>
      <w:r>
        <w:t>- 22/23 -</w:t>
      </w:r>
    </w:p>
    <w:p>
      <w:r>
        <w:t>C/24893/2018 alternée. Avec le Tribunal, la Cour considère que la diminution des coûts de l'enfant n'est pas suffisamment significative au regard des revenus de l'appelant pour justifier une réduction de la contribution d'entretien. Ces coûts sont par essence susceptibles de varier à la hausse avec le temps, ne serait-ce que s'agissant du minimum vital OP. Le chiffre 1 du dispositif du jugement entrepris sera en conséquence confirmé. 5. L'intimée sollicite la condamnation de l'appelant à une amende pour téméraire plaideur. 5.1 Selon l'art. 128 al. 3 CPC, la partie ou son représentant qui usent de mauvaise foi ou de procédés téméraires sont punis d'une amende disciplinaire de 2'000 fr. au plus; l'amende est de 5'000 fr. au plus en cas de récidive. La jurisprudence se montre restrictive. La sanction disciplinaire a un caractère exceptionnel et postule un comportement qualifié (HALDY, in Code de procédure civile commenté, n. 5 ad art. 128 CPC et les références). 5.2 En l'espèce, il n'a pas été démontré que l'appelant aurait fait preuve de mauvaise foi, l'intimée ayant pour sa part varié dans certaines de ses explications. 6. En l'absence de griefs sur les autres points du dispositif du jugement entrepris, en particulier le ch. 3 ayant condamné l'appelant à payer une somme de 160 fr. 35 à l'intimée au titre de la restitution de l'acompte de chauffage, ceux-ci seront confirmés. 7. Les frais judiciaires d'appel seront mis à la charge de l’appelant, qui succombe (art. 106 al. 1 CPC). Ils seront arrêtés à 1'000 fr. (art. 32 et 35 RTFMC) et entièrement compensés avec l’avance de même montant versée par l’appelant, qui reste acquise à l’Etat de Genève. Compte tenu de la nature familiale du litige, chaque partie supportera ses propres dépens d'appel (art. 107 al. 1 let. c CPC). * * * * *</w:t>
      </w:r>
    </w:p>
    <w:p>
      <w:r>
        <w:t>- 23/23 -</w:t>
      </w:r>
    </w:p>
    <w:p>
      <w:r>
        <w:t>C/24893/2018</w:t>
      </w:r>
    </w:p>
    <w:p>
      <w:r>
        <w:t>PAR CES MOTIFS, La Chambre civile : A la forme : Déclare recevable l'appel interjeté le 8 juillet 2021 par A______ contre le jugement JTPI/7332/2021 rendu le 3 juin 2021 par le Tribunal de première instance dans la cause C/24893/2018 – 17. Au fond : Confirme ce jugement. Déboute les parties de toutes autres conclusions. Sur les frais : Arrête les frais judiciaires d'appel à 1'000 fr., les met à la charge de A______ et les compense avec l’avance de frais versée, qui reste acquise à l’Etat de Genève. Dit qu'il n'est pas alloué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