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ACJC/603/2019 vom 29. April 2019</w:t>
      </w:r>
    </w:p>
    <w:p>
      <w:r>
        <w:t>GE Cour de justice, 2019-04-29, FR</w:t>
      </w:r>
    </w:p>
    <w:p>
      <w:r>
        <w:rPr>
          <w:b/>
        </w:rPr>
        <w:t xml:space="preserve">Quelle: </w:t>
      </w:r>
      <w:r>
        <w:t>https://mcp.opencaselaw.ch/entscheid/ge_gerichte_ACJC_603_2019</w:t>
      </w:r>
    </w:p>
    <w:p>
      <w:r>
        <w:t>FR: GE_GERICHTE ACJC/603/2019 du 29 avril 2019</w:t>
      </w:r>
    </w:p>
    <w:p>
      <w:r>
        <w:t>IT: GE_GERICHTE ACJC/603/2019 del 29 aprile 2019</w:t>
      </w:r>
    </w:p>
    <w:p>
      <w:pPr>
        <w:pStyle w:val="Heading2"/>
      </w:pPr>
      <w:r>
        <w:t>Regeste</w:t>
      </w:r>
    </w:p>
    <w:p>
      <w:r>
        <w:t>Résumé: MODIFICATION UNILATÉRALE DU CONTRAT PAR LE BAILLEUR - APPLICATION D'UN NOUVEAU RÈGLEMENT POUR LES LOGEMENTS À CARACTÈRE SOCIAL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Il examinera aussi si la modification intervient au détriment du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In casu, la modification imposée par la bailleresse est l'application d'un règlement pour les logements à caractère social, lequel contient notamment des dispositions sur la possibilité de résilier le bail avant son expiration si les conditions particulières de location fixées par la bailleresse ne sont pas respectées. Tout en laissant la question de savoir si ce nouveau règlement péjore la situation du locataire ouverte, la Cour retient que l'intérêt public de la bailleresse de lutter contre la pénurie et de loger des personnes en situation de précarité en assurant une équité entre eux l'emporte sur l'intérêt du locataire.</w:t>
      </w:r>
    </w:p>
    <w:p>
      <w:pPr>
        <w:pStyle w:val="Heading2"/>
      </w:pPr>
      <w:r>
        <w:t>Volltext</w:t>
      </w:r>
    </w:p>
    <w:p>
      <w:r>
        <w:t>Résumé: MODIFICATION UNILATÉRALE DU CONTRAT PAR LE BAILLEUR - APPLICATION D'UN NOUVEAU RÈGLEMENT POUR LES LOGEMENTS À CARACTÈRE SOCIAL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Il examinera aussi si la modification intervient au détriment du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In casu, la modification imposée par la bailleresse est l'application d'un règlement pour les logements à caractère social, lequel contient notamment des dispositions sur la possibilité de résilier le bail avant son expiration si les conditions particulières de location fixées par la bailleresse ne sont pas respectées. Tout en laissant la question de savoir si ce nouveau règlement péjore la situation du locataire ouverte, la Cour retient que l'intérêt public de la bailleresse de lutter contre la pénurie et de loger des personnes en situation de précarité en assurant une équité entre eux l'emporte sur l'intérêt du locataire.</w:t>
      </w:r>
    </w:p>
    <w:p>
      <w:r>
        <w:t>Descripteurs: Descripteurs: BAIL À LOYER ; MODIFICATION(EN GÉNÉRAL) ; BAILLEUR(BAIL À LOYER) ; LOGEMENT SOCIAL</w:t>
      </w:r>
    </w:p>
    <w:p>
      <w:r>
        <w:t>Normes: Normes: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