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ACJC/601/2020 vom 6. Mai 2020</w:t>
      </w:r>
    </w:p>
    <w:p>
      <w:r>
        <w:t>GE Cour de justice, 2020-05-06, FR</w:t>
      </w:r>
    </w:p>
    <w:p>
      <w:r>
        <w:rPr>
          <w:b/>
        </w:rPr>
        <w:t xml:space="preserve">Quelle: </w:t>
      </w:r>
      <w:r>
        <w:t>https://mcp.opencaselaw.ch/entscheid/ge_gerichte_ACJC_601_2020</w:t>
      </w:r>
    </w:p>
    <w:p>
      <w:r>
        <w:t>FR: GE_GERICHTE ACJC/601/2020 du 6 mai 2020</w:t>
      </w:r>
    </w:p>
    <w:p>
      <w:r>
        <w:t>IT: GE_GERICHTE ACJC/601/2020 del 6 maggio 2020</w:t>
      </w:r>
    </w:p>
    <w:p>
      <w:pPr>
        <w:pStyle w:val="Heading2"/>
      </w:pPr>
      <w:r>
        <w:t>Erwägungen</w:t>
      </w:r>
    </w:p>
    <w:p>
      <w:r>
        <w:rPr>
          <w:b/>
        </w:rPr>
        <w:t>E. 1.1</w:t>
      </w:r>
    </w:p>
    <w:p>
      <w:r>
        <w:t>S'agissant d'une procédure de mainlevée, seule la voie du recours est ouverte (art. 319 let. b et 309 let. b ch. 3 CPC).</w:t>
      </w:r>
    </w:p>
    <w:p>
      <w:r>
        <w:rPr>
          <w:b/>
        </w:rPr>
        <w:t>E. 1.2</w:t>
      </w:r>
    </w:p>
    <w:p>
      <w:r>
        <w:t>Le recours, écrit et motivé, doit être introduit auprès de l'instance de recours dans les dix jours à compter de la notification de la décision motivée (art. 251 let. a CPC et 321 al. 1 et 2 CPC). Déposé dans le délai et selon la forme prescrits par la loi, le recours est recevable.</w:t>
      </w:r>
    </w:p>
    <w:p>
      <w:r>
        <w:rPr>
          <w:b/>
        </w:rPr>
        <w:t>E. 1.3</w:t>
      </w:r>
    </w:p>
    <w:p>
      <w:r>
        <w:t>Dans le cadre d'un recours, l'autorité a un plein pouvoir d'examen en droit, mais un pouvoir limité à l'arbitraire en fait (art. 320 CPC; HOHL, Procédure civile,</w:t>
      </w:r>
    </w:p>
    <w:p>
      <w:r>
        <w:t>- 4/7 -</w:t>
      </w:r>
    </w:p>
    <w:p>
      <w:r>
        <w:t>C/22574/2019 Tome II, 2ème éd., 2010, n. 2307). En particulier, s'agissant d'une procédure de mainlevée provisoire, la Cour doit vérifier d'office si la requête est fondée sur un titre de mainlevée valable (arrêt du Tribunal fédéral 5P.174/2005 du 7 octobre 2005 consid. 2.1).</w:t>
      </w:r>
    </w:p>
    <w:p>
      <w:r>
        <w:rPr>
          <w:b/>
        </w:rPr>
        <w:t>E. 2</w:t>
      </w:r>
    </w:p>
    <w:p>
      <w:r>
        <w:t>La recourante fait grief au premier juge d'avoir ignoré les pièces qu'elle avait produites, propres à démontrer qu'elle avait effectué ses prestations de courtier, et d'avoir méconnu l'art. 82 LP, en ne retenant pas qu'elle était au bénéfice d'un titre de mainlevée provisoire. 2.1.1 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l'identité entre le poursuivant et le créancier désigné dans ce titre, l'identité entre le poursuivi et le débiteur désigné et l'identité entre la prétention déduite en poursuite et la dette reconnue (ATF 139 III 444 précité consid. 4.1.1 et les références; GILLIERON, Commentaire de la loi fédérale sur la poursuite pour dettes et la faillite, 1999, n. 73ss ad art. 82 LP).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 2.1.2 Le contrat de courtage signé par le mandant constitue une reconnaissance de dette pour le salaire du courtier si l'indication qu'il a donnée ou la négociation qu'il a conduite a procuré la conclusion du contrat (art. 413 al. 1 CO). La réalisation de cette condition suspensive doit être prouvée par le créancier, en principe par titre au sens de l'art. 177 CPC, cela pour autant que le poursuivi le conteste et que cette contestation ne soit pas insoutenable. Le créancier doit également établir le montant de sa rémunération. Celle-ci peut être fixée de manière précise dans le contrat de courtage ou selon un pourcentage du prix convenu dans le contrat principal; dans ce dernier cas, le courtier doit prouver le montant de ce prix en produisant le contrat conclu par son intermédiaire (VEUILLET, in Abbet/Veuillet, La mainlevée de l'opposition, Berne 2017, n. 190 ad art. 82 LP). 2.1.3 Le contrat est conditionnel, lorsque l'existence de l'obligation qui en forme l'objet est subordonnée à l'arrivée d'un événement incertain (art. 151 al. 1 CO). Il ne produit d'effets qu'à compter du moment où la condition s'accomplit, si les parties n'ont pas manifesté une intention contraire (art. 151 al. 2 CO).</w:t>
      </w:r>
    </w:p>
    <w:p>
      <w:r>
        <w:t>- 5/7 -</w:t>
      </w:r>
    </w:p>
    <w:p>
      <w:r>
        <w:t>C/22574/2019 2.1.4 En l'espèce, il est établi que les parties ont signé un contrat de courtage prévoyant une commission de courtage, dont le pourcentage est fixé, due si l'indication donnée ou la négociation conduite par le courtier ont procuré la vente de l'objet.</w:t>
      </w:r>
    </w:p>
    <w:p>
      <w:r>
        <w:t>L'intimé n'a pas formulé de contestation au sujet de la réalisation de la condition suspensive ainsi stipulée dans le contrat de courtage, s'étant limité à conclure, lors de l'audience du Tribunal, au rejet de la requête, sans soumettre d'allégués ni développer de moyens.</w:t>
      </w:r>
    </w:p>
    <w:p>
      <w:r>
        <w:t>Pour sa part, la recourante a démontré, par l'échange de courriers électroniques d'octobre à février 2016, qu'elle avait présenté à l'intimé des clients, soumis à ceux-ci l'offre du vendeur et reçu la contre-offre desdits clients, et ainsi fourni la prestation qui lui incombait. Elle a également établi la réalisation de la condition suspensive stipulée dans le contrat, à savoir l'achat ultérieur du bien immobilier par les clients susmentionnés ainsi que le prix de la transaction, tel que publié par le Registre foncier.</w:t>
      </w:r>
    </w:p>
    <w:p>
      <w:r>
        <w:t>Le contrat liant les parties représente dès lors un titre de mainlevée, au sens de l'art. 82 LP, étant relevé que la rémunération est déterminable, puisqu'elle était fixée à 3% du prix de vente (en l'occurrence 3'100'000 fr.), soit 93'000 fr., à quoi s'ajoute la TVA de 8% en 2016, pour un total de 100'440 fr. Ce montant était exigible au jour de la vente, de sorte que les intérêts moratoires sont dus dès cette date.</w:t>
      </w:r>
    </w:p>
    <w:p>
      <w:r>
        <w:t>Le recours est fondé. Le jugement attaqué sera dès lors annulé, et il sera statué à nouveau (art. 327 al. 3 let. b CPC) dans le sens que la mainlevée provisoire de l'opposition formée au commandement de payer, poursuite n° 1______, sera prononcée.</w:t>
      </w:r>
    </w:p>
    <w:p>
      <w:r>
        <w:rPr>
          <w:b/>
        </w:rPr>
        <w:t>E. 3</w:t>
      </w:r>
    </w:p>
    <w:p>
      <w:r>
        <w:t>L'intimé, qui succombe, supportera les frais judiciaires des deux instances (art. 106 al. 1 CPC), arrêtés à 1'875 fr. (art. 48, 61 OELP), compensés avec les avances opérées par la recourante, acquises à l'Etat de Genève (art. 111 al. 1 CPC). Il en remboursera la recourante et versera à celle-ci 2'500 fr. à titre de dépens des deux instances, débours et TVA compris (art. 85, 89 et 90 RTFMC; art. 25 et 26 LaCC). * * * * *</w:t>
      </w:r>
    </w:p>
    <w:p>
      <w:r>
        <w:t>- 6/7 -</w:t>
      </w:r>
    </w:p>
    <w:p>
      <w:r>
        <w:t>C/22574/2019</w:t>
      </w:r>
    </w:p>
    <w:p>
      <w:r>
        <w:t>PAR CES MOTIFS, La Chambre civile : A la forme : Déclare recevable le recours formé le 21 février 2020 par A______ SA contre le jugement JTPI/2032/2020 rendu le 3 février 2020 par le Tribunal de première instance dans la cause C/22574/2019-10 SML. Au fond : Annule ce jugement. Cela fait : Prononce la mainlevée provisoire de l'opposition formée par B______ au commandement de payer, poursuite n° 1______. Déboute les parties de toutes autres conclusions. Sur les frais de première instance et de recours : Arrête les frais judiciaires de première instance et de recours à 1'875 fr., compensés avec les avances déjà effectuées, acquises à l'Etat de Genève. Les met à la charge de B______. Condamne en conséquence B______ à verser 1'875 fr. à A______ SA. Condamne B______ à verser à A______ SA 2'500 fr. à titre de dépens des deux instances. Siégeant : Madame Pauline ERARD, présidente; Madame Sylvie DROIN et Madame Nathalie LANDRY-BARTHE, juges; Madame Mélanie DE RESENDE PEREIRA, greffière. La présidente : Pauline ERARD</w:t>
      </w:r>
    </w:p>
    <w:p>
      <w:r>
        <w:t>La greffière : Mélanie DE RESENDE PEREIRA</w:t>
      </w:r>
    </w:p>
    <w:p>
      <w:r>
        <w:t>- 7/7 -</w:t>
      </w:r>
    </w:p>
    <w:p>
      <w:r>
        <w:t>C/22574/2019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