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ACJC/597/2023 vom 10. Mai 2023</w:t>
      </w:r>
    </w:p>
    <w:p>
      <w:r>
        <w:t>GE Cour de justice, 2023-05-10, FR</w:t>
      </w:r>
    </w:p>
    <w:p>
      <w:r>
        <w:rPr>
          <w:b/>
        </w:rPr>
        <w:t xml:space="preserve">Quelle: </w:t>
      </w:r>
      <w:r>
        <w:t>https://mcp.opencaselaw.ch/entscheid/ge_gerichte_ACJC_597_2023</w:t>
      </w:r>
    </w:p>
    <w:p>
      <w:r>
        <w:t>FR: GE_GERICHTE ACJC/597/2023 du 10 mai 2023</w:t>
      </w:r>
    </w:p>
    <w:p>
      <w:r>
        <w:t>IT: GE_GERICHTE ACJC/597/2023 del 10 maggio 2023</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est recevable.</w:t>
      </w:r>
    </w:p>
    <w:p>
      <w:r>
        <w:t>- 4/8 -</w:t>
      </w:r>
    </w:p>
    <w:p>
      <w:r>
        <w:t>C/17303/2022</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w:t>
      </w:r>
    </w:p>
    <w:p>
      <w:r>
        <w:rPr>
          <w:b/>
        </w:rPr>
        <w:t>E. 1.4</w:t>
      </w:r>
    </w:p>
    <w:p>
      <w:r>
        <w:t>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GILLIERON, Commentaire de la loi fédérale sur la poursuite pour dettes et la faillite, Lausanne, 1999, no 22 ad art. 80 LP). Dans cette mesure, la Cour applique librement le droit.</w:t>
      </w:r>
    </w:p>
    <w:p>
      <w:r>
        <w:rPr>
          <w:b/>
        </w:rPr>
        <w:t>E. 2</w:t>
      </w:r>
    </w:p>
    <w:p>
      <w:r>
        <w:t>Les conclusions, les allégations de faits et les preuves nouvelles sont irrecevables dans le cadre d'un recours (art. 326 al. 1 CPC). En l'espèce, les pièces nouvelles (n. 9 et 11) sont irrecevables, ainsi que les allégués de fait s'y rapportant. La Cour examinera la cause sur la base du dossier dont disposait le Tribunal. En revanche, la pièce n. 10 constitue un fait notoire, de sorte qu'elle est recevable.</w:t>
      </w:r>
    </w:p>
    <w:p>
      <w:r>
        <w:rPr>
          <w:b/>
        </w:rPr>
        <w:t>E. 3</w:t>
      </w:r>
    </w:p>
    <w:p>
      <w:r>
        <w:t>La recourante reproche au Tribunal de ne pas avoir prononcé la mainlevée définitive de l'opposition formée au commandement de payer et d'avoir considéré que les titres produits ne valaient pas titre de mainlevée définitive, que le décompte produit avait été adressé "A la Direction de B______", que le bulletin d'adhésion avait été établi au nom de "Association B______", que le numéro IDE CHE-3______ indiqué par la recourante était introuvable sur zefix.ch et que le commandement de payer avait été notifié à C______. 3.1.1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w:t>
      </w:r>
    </w:p>
    <w:p>
      <w:r>
        <w:t>- 5/8 -</w:t>
      </w:r>
    </w:p>
    <w:p>
      <w:r>
        <w:t>C/17303/2022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Commentaire romand, Code de procédure civile,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L'atteinte causée par le défaut d'une citation valablement notifiée est d'une gravité telle qu'elle ne peut pas être réparée devant l'instance de recours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3.1.2 En application de l'art. 59 al. 1 et al. 2 let. c CPC, le tribunal n'entre en matière que sur les demandes qui satisfont aux conditions de recevabilité de l'action, au nombre desquelles figure la capacité d'être partie (art. 66 CPC) et d'ester en justice (art. 67 CPC). Le juge examine d'office si les conditions de recevabilité sont remplies (art. 60 CPC).</w:t>
      </w:r>
    </w:p>
    <w:p>
      <w:r>
        <w:t>- 6/8 -</w:t>
      </w:r>
    </w:p>
    <w:p>
      <w:r>
        <w:t>C/17303/2022 Aux termes de l'art. 66 CPC, la capacité d'être partie est subordonnée soit à la jouissance des droits civils, soit à la qualité de partie en vertu du droit fédéral. Une demande déposée par – ou contre – une partie qui n'a pas la capacité d'être partie – en d'autres termes qui n'existe pas – doit ainsi être déclarée irrecevable, faute d’instance valable (BOHNET, Commentaire Romand, CPC, 2019, n. 71 art. 59 CPC). 3.1.3 Une association, au sens des art. 60 ss CC, acquiert la personnalité juridique dès qu'elle exprime dans ses statuts la volonté d'être organisée corporativement (art. 60 al. 1 CC; cf. ATF 87 I 301 spéc. p. 304). L'inscription au Registre du commerce est en principe facultative (art. 61 al. 1 CC), sauf dans deux hypothèses (art. 61 al. 2 CC). Qu'elle soit obligatoire ou non, l'inscription n'a qu'un effet déclaratif. Ce n'est donc pas l'inscription qui crée la personnalité juridique (ATF 100 III 19 consid. 2; 88 II 209 consid. I.2b).</w:t>
      </w:r>
    </w:p>
    <w:p>
      <w:r>
        <w:rPr>
          <w:b/>
        </w:rPr>
        <w:t>E. 3.2</w:t>
      </w:r>
    </w:p>
    <w:p>
      <w:r>
        <w:t>En l'espèce, le bulletin d'adhésion porte une signature pour une association B______, avec mention d'un siège social dans le canton de Vaud (E______). Ce siège résulte également des informations figurant sur le site internet de la Confédération (Office fédéral de la statistique) et de la pièce produite par la recourante. En dépit de la connaissance de ce siège, la recourante a saisi le Tribunal d'une requête dirigée contre l'association en cause, en mentionnant une adresse à Genève, sans aucune explication. La citation à comparaître à l'audience de mainlevée devant le Tribunal n'a pas été reçue par la partie intimée, sans que le dossier ne comporte d'indication à ce sujet. Il s'ensuit que l'intimée n'a pas été valablement convoquée à l'audience, ce qui emporte violation de son droit d'être entendue. Par ailleurs, à teneur des pièces (recevables) du dossier, rien ne permet de déterminer qu'il existerait une association dotée de la personnalité juridique, et partant, de la capacité d'être partie à la procédure. La recourante n'a pas produit, devant le Tribunal, les statuts de l'association en cause, seuls propres à établir la personnalité juridique de celle-ci. Par conséquent, il n'est pas établi que l'intimée disposerait de la capacité d'être partie à la procédure, ce qui entraîne l'irrecevabilité de la demande formée par la recourante. Il sera également relevé qu'en tout état, le commandement de payer mentionne comme débiteur C______ qui n'est pas la personne recherchée par la recourante, sans que celle-ci ait expliqué dans sa requête pour quel motif elle avait fait notifier à C______ ladite poursuite et non à l'intimée. Sur la base de ce qui précède, il sera retenu qu'il n'y a pas d'identité entre le poursuivi et le débiteur engagé par le bulletin d'adhésion dont se prévaut la recourante.</w:t>
      </w:r>
    </w:p>
    <w:p>
      <w:r>
        <w:t>- 7/8 -</w:t>
      </w:r>
    </w:p>
    <w:p>
      <w:r>
        <w:t>C/17303/2022</w:t>
      </w:r>
    </w:p>
    <w:p>
      <w:r>
        <w:rPr>
          <w:b/>
        </w:rPr>
        <w:t>E. 3.3</w:t>
      </w:r>
    </w:p>
    <w:p>
      <w:r>
        <w:t>Le chiffre 1 du dispositif du jugement entrepris sera par conséquent annulé et, la cause étant en état d'être jugée (art. 327 al. 2 let. b CPC), il sera statué en ce sens que la requête formée le 9 septembre 2022 par la recourante sera déclarée irrecevable.</w:t>
      </w:r>
    </w:p>
    <w:p>
      <w:r>
        <w:rPr>
          <w:b/>
        </w:rPr>
        <w:t>E. 4</w:t>
      </w:r>
    </w:p>
    <w:p>
      <w:r>
        <w:t>La recourante, qui succombe, sera condamnée aux frais de la procédure de recours (art. 106 al. 1 CPC). Les frais judiciaires seront arrêtés à 450 fr. (art. 48 et 61 OELP) et compensés avec l'avance versée, acquise à l'Etat de Genève (art. 111 al. 1 CPC). Il ne sera pas alloué de dépens à l'intimée, qui ne s'est pas déterminée. * * * * *</w:t>
      </w:r>
    </w:p>
    <w:p>
      <w:r>
        <w:t>- 8/8 -</w:t>
      </w:r>
    </w:p>
    <w:p>
      <w:r>
        <w:t>C/17303/2022 PAR CES MOTIFS, La Chambre civile : A la forme : Déclare recevable le recours interjeté le 12 janvier 2023 par A______ contre le jugement JTPI/14931/2022 rendu le 12 décembre 2022 par le Tribunal de première instance dans la cause C/17303/2022-1 SML. Au fond : Annule le chiffre 1 du dispositif de ce jugement. Cela fait et statuant à nouveau sur ce point : Déclare irrecevable la requête en mainlevée définitive formée le 9 septembre 2022 par A______ contre B______. Déboute les parties de toutes autres conclusions de recours. Sur les frais : Arrête les frais judiciaires du recours à 450 fr., compensés avec l'avance de frais fournie, acquise à l'Etat de Genève, et les met à la charge de A______. Dit qu'il n'est pas alloué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